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071" w:rsidRDefault="004C1C34" w:rsidP="003B5071">
      <w:pPr>
        <w:pStyle w:val="Titolo1"/>
        <w:ind w:left="-426" w:right="140"/>
        <w:jc w:val="center"/>
        <w:rPr>
          <w:sz w:val="28"/>
          <w:szCs w:val="28"/>
        </w:rPr>
      </w:pPr>
      <w:r w:rsidRPr="00AD00A2">
        <w:rPr>
          <w:sz w:val="28"/>
          <w:szCs w:val="28"/>
        </w:rPr>
        <w:t>Notariato ed esercizio di pubblica funzione</w:t>
      </w:r>
    </w:p>
    <w:p w:rsidR="0080055F" w:rsidRPr="0080055F" w:rsidRDefault="0080055F" w:rsidP="0080055F"/>
    <w:p w:rsidR="003B5071" w:rsidRDefault="009B7C17" w:rsidP="0080055F">
      <w:pPr>
        <w:pStyle w:val="Titolo1"/>
        <w:numPr>
          <w:ilvl w:val="0"/>
          <w:numId w:val="2"/>
        </w:numPr>
        <w:ind w:right="140"/>
        <w:rPr>
          <w:sz w:val="28"/>
          <w:szCs w:val="28"/>
        </w:rPr>
      </w:pPr>
      <w:r w:rsidRPr="00AD00A2">
        <w:rPr>
          <w:sz w:val="28"/>
          <w:szCs w:val="28"/>
        </w:rPr>
        <w:t>Riflessioni sulla qualificazione della professione notarile alla luce delle norme comunitarie a tutela della concorrenza</w:t>
      </w:r>
    </w:p>
    <w:p w:rsidR="0080055F" w:rsidRPr="0080055F" w:rsidRDefault="0080055F" w:rsidP="0080055F">
      <w:pPr>
        <w:pStyle w:val="Paragrafoelenco"/>
        <w:numPr>
          <w:ilvl w:val="0"/>
          <w:numId w:val="2"/>
        </w:numPr>
        <w:jc w:val="both"/>
        <w:rPr>
          <w:b/>
          <w:sz w:val="28"/>
          <w:szCs w:val="28"/>
        </w:rPr>
      </w:pPr>
      <w:r w:rsidRPr="0080055F">
        <w:rPr>
          <w:b/>
          <w:sz w:val="28"/>
          <w:szCs w:val="28"/>
        </w:rPr>
        <w:t>Inidoneità di altre professioni alla funzione pubblica</w:t>
      </w:r>
    </w:p>
    <w:p w:rsidR="003B5071" w:rsidRPr="00AD00A2" w:rsidRDefault="003B5071" w:rsidP="003B5071">
      <w:pPr>
        <w:pStyle w:val="Titolo1"/>
        <w:ind w:left="-426" w:right="140"/>
        <w:rPr>
          <w:b w:val="0"/>
          <w:sz w:val="28"/>
          <w:szCs w:val="28"/>
        </w:rPr>
      </w:pPr>
    </w:p>
    <w:p w:rsidR="009B7C17" w:rsidRPr="00AD00A2" w:rsidRDefault="003B5071" w:rsidP="003B5071">
      <w:pPr>
        <w:pStyle w:val="Titolo1"/>
        <w:ind w:left="-426" w:right="140"/>
        <w:rPr>
          <w:b w:val="0"/>
          <w:sz w:val="28"/>
          <w:szCs w:val="28"/>
        </w:rPr>
      </w:pPr>
      <w:r w:rsidRPr="00AD00A2">
        <w:rPr>
          <w:b w:val="0"/>
          <w:sz w:val="28"/>
          <w:szCs w:val="28"/>
        </w:rPr>
        <w:t>N</w:t>
      </w:r>
      <w:r w:rsidR="009B7C17" w:rsidRPr="00AD00A2">
        <w:rPr>
          <w:b w:val="0"/>
          <w:sz w:val="28"/>
          <w:szCs w:val="28"/>
        </w:rPr>
        <w:t>onostante il sistema delle norme c</w:t>
      </w:r>
      <w:r w:rsidRPr="00AD00A2">
        <w:rPr>
          <w:b w:val="0"/>
          <w:sz w:val="28"/>
          <w:szCs w:val="28"/>
        </w:rPr>
        <w:t>omunitarie a tutela del mercato e</w:t>
      </w:r>
      <w:r w:rsidR="009B7C17" w:rsidRPr="00AD00A2">
        <w:rPr>
          <w:b w:val="0"/>
          <w:sz w:val="28"/>
          <w:szCs w:val="28"/>
        </w:rPr>
        <w:t xml:space="preserve"> della concorrenza conferisca alla professione notarile un importante statuto speciale e robuste esenzioni dalla disciplina comune dell’impresa ordinaria e derivanti dalla funzione pubblica, il notaio tuttavia non ne è esente intrinsecamente in sé in quanto tale. </w:t>
      </w:r>
    </w:p>
    <w:p w:rsidR="009B7C17" w:rsidRPr="00AD00A2" w:rsidRDefault="009B7C17" w:rsidP="003B5071">
      <w:pPr>
        <w:ind w:left="-426" w:right="140"/>
        <w:jc w:val="both"/>
        <w:rPr>
          <w:rFonts w:ascii="Century" w:hAnsi="Century"/>
          <w:sz w:val="28"/>
          <w:szCs w:val="28"/>
        </w:rPr>
      </w:pPr>
      <w:r w:rsidRPr="00AD00A2">
        <w:rPr>
          <w:rFonts w:ascii="Century" w:hAnsi="Century"/>
          <w:sz w:val="28"/>
          <w:szCs w:val="28"/>
        </w:rPr>
        <w:t xml:space="preserve">Il sistema </w:t>
      </w:r>
      <w:r w:rsidRPr="00AD00A2">
        <w:rPr>
          <w:rFonts w:ascii="Century" w:hAnsi="Century"/>
          <w:i/>
          <w:iCs/>
          <w:sz w:val="28"/>
          <w:szCs w:val="28"/>
        </w:rPr>
        <w:t>antitrust</w:t>
      </w:r>
      <w:r w:rsidRPr="00AD00A2">
        <w:rPr>
          <w:rFonts w:ascii="Century" w:hAnsi="Century"/>
          <w:sz w:val="28"/>
          <w:szCs w:val="28"/>
        </w:rPr>
        <w:t xml:space="preserve"> nei minimi termini si preoccupa che sia </w:t>
      </w:r>
      <w:r w:rsidRPr="00AD00A2">
        <w:rPr>
          <w:rFonts w:ascii="Century" w:hAnsi="Century"/>
          <w:i/>
          <w:iCs/>
          <w:sz w:val="28"/>
          <w:szCs w:val="28"/>
        </w:rPr>
        <w:t>fair</w:t>
      </w:r>
      <w:r w:rsidRPr="00AD00A2">
        <w:rPr>
          <w:rFonts w:ascii="Century" w:hAnsi="Century"/>
          <w:sz w:val="28"/>
          <w:szCs w:val="28"/>
        </w:rPr>
        <w:t xml:space="preserve"> il modo con cui si procura il compenso, chi offre al mercato beni e servizi. </w:t>
      </w:r>
    </w:p>
    <w:p w:rsidR="009B7C17" w:rsidRPr="00AD00A2" w:rsidRDefault="009B7C17" w:rsidP="003B5071">
      <w:pPr>
        <w:ind w:left="-426" w:right="140"/>
        <w:jc w:val="both"/>
        <w:rPr>
          <w:rFonts w:ascii="Century" w:hAnsi="Century"/>
          <w:sz w:val="28"/>
          <w:szCs w:val="28"/>
        </w:rPr>
      </w:pPr>
      <w:r w:rsidRPr="00AD00A2">
        <w:rPr>
          <w:rFonts w:ascii="Century" w:hAnsi="Century"/>
          <w:sz w:val="28"/>
          <w:szCs w:val="28"/>
        </w:rPr>
        <w:t>Il versante qualificante è l’entrata, non la prestazione caratteristica, e così dobbiamo farci una ragione che l’attività notarile, in quanto anch’essa attività organizzata in modo professionale allo scopo di erogare servizi dietro corrispettivo, è soggetta, in linea di principio, al rispetto delle norme comunitarie in materia di concorrenza fra imprese (senza, naturalmente, che ciò implichi la qualificazione dei notai come imprenditori, per qualsiasi altro aspetto di rilevanza giuridica di tale figura).</w:t>
      </w:r>
    </w:p>
    <w:p w:rsidR="004B1B65" w:rsidRDefault="004B1B65" w:rsidP="003B5071">
      <w:pPr>
        <w:ind w:left="-426" w:right="140"/>
        <w:jc w:val="both"/>
        <w:rPr>
          <w:rFonts w:ascii="Century" w:hAnsi="Century"/>
          <w:sz w:val="28"/>
          <w:szCs w:val="28"/>
        </w:rPr>
      </w:pPr>
    </w:p>
    <w:p w:rsidR="009B7C17" w:rsidRPr="00AD00A2" w:rsidRDefault="009B7C17" w:rsidP="003B5071">
      <w:pPr>
        <w:ind w:left="-426" w:right="140"/>
        <w:jc w:val="both"/>
        <w:rPr>
          <w:rFonts w:ascii="Century" w:hAnsi="Century"/>
          <w:sz w:val="28"/>
          <w:szCs w:val="28"/>
        </w:rPr>
      </w:pPr>
      <w:r w:rsidRPr="00AD00A2">
        <w:rPr>
          <w:rFonts w:ascii="Century" w:hAnsi="Century"/>
          <w:sz w:val="28"/>
          <w:szCs w:val="28"/>
        </w:rPr>
        <w:t xml:space="preserve">All’interno di questo quadro, è peraltro corretto affermare che la soggezione dei notai alla disciplina di tutela della concorrenza non è piena. </w:t>
      </w:r>
    </w:p>
    <w:p w:rsidR="009B7C17" w:rsidRPr="00AD00A2" w:rsidRDefault="009B7C17" w:rsidP="003B5071">
      <w:pPr>
        <w:ind w:left="-426" w:right="140"/>
        <w:jc w:val="both"/>
        <w:rPr>
          <w:rFonts w:ascii="Century" w:hAnsi="Century"/>
          <w:sz w:val="28"/>
          <w:szCs w:val="28"/>
        </w:rPr>
      </w:pPr>
      <w:r w:rsidRPr="00AD00A2">
        <w:rPr>
          <w:rFonts w:ascii="Century" w:hAnsi="Century"/>
          <w:sz w:val="28"/>
          <w:szCs w:val="28"/>
        </w:rPr>
        <w:t>E’ un problema di limite; e il limite è che i servizi notarili di autenticazione sono certamente, ai sensi del diritto comunitario, “</w:t>
      </w:r>
      <w:r w:rsidRPr="00AD00A2">
        <w:rPr>
          <w:rFonts w:ascii="Century" w:hAnsi="Century"/>
          <w:i/>
          <w:sz w:val="28"/>
          <w:szCs w:val="28"/>
        </w:rPr>
        <w:t>servizi di interesse economico generale</w:t>
      </w:r>
      <w:r w:rsidRPr="00AD00A2">
        <w:rPr>
          <w:rFonts w:ascii="Century" w:hAnsi="Century"/>
          <w:sz w:val="28"/>
          <w:szCs w:val="28"/>
        </w:rPr>
        <w:t xml:space="preserve">” in quanto connessi con l’esercizio </w:t>
      </w:r>
      <w:r w:rsidR="003B5071" w:rsidRPr="00AD00A2">
        <w:rPr>
          <w:rFonts w:ascii="Century" w:hAnsi="Century"/>
          <w:sz w:val="28"/>
          <w:szCs w:val="28"/>
        </w:rPr>
        <w:t>di pubblici poteri, (</w:t>
      </w:r>
      <w:r w:rsidRPr="00AD00A2">
        <w:rPr>
          <w:rFonts w:ascii="Century" w:hAnsi="Century"/>
          <w:sz w:val="28"/>
          <w:szCs w:val="28"/>
        </w:rPr>
        <w:t xml:space="preserve">art. 86.2 TCE e </w:t>
      </w:r>
      <w:proofErr w:type="spellStart"/>
      <w:r w:rsidRPr="00AD00A2">
        <w:rPr>
          <w:rFonts w:ascii="Century" w:hAnsi="Century"/>
          <w:sz w:val="28"/>
          <w:szCs w:val="28"/>
        </w:rPr>
        <w:t>normazione</w:t>
      </w:r>
      <w:proofErr w:type="spellEnd"/>
      <w:r w:rsidRPr="00AD00A2">
        <w:rPr>
          <w:rFonts w:ascii="Century" w:hAnsi="Century"/>
          <w:sz w:val="28"/>
          <w:szCs w:val="28"/>
        </w:rPr>
        <w:t xml:space="preserve"> secondaria): solo in virtù di queste essi sono dunque esentati dal rispetto delle norme generali di concorrenza: cioè solo in quanto esercizio di pubblici poteri, e nella misura in cui la libera concorrenza “</w:t>
      </w:r>
      <w:r w:rsidRPr="00AD00A2">
        <w:rPr>
          <w:rFonts w:ascii="Century" w:hAnsi="Century"/>
          <w:i/>
          <w:sz w:val="28"/>
          <w:szCs w:val="28"/>
        </w:rPr>
        <w:t>osti all’adempimento, in linea di diritto e di fatto, della specifica missione loro affidata</w:t>
      </w:r>
      <w:r w:rsidRPr="00AD00A2">
        <w:rPr>
          <w:rFonts w:ascii="Century" w:hAnsi="Century"/>
          <w:sz w:val="28"/>
          <w:szCs w:val="28"/>
        </w:rPr>
        <w:t>”</w:t>
      </w:r>
      <w:r w:rsidRPr="00AD00A2">
        <w:rPr>
          <w:rStyle w:val="Rimandonotaapidipagina"/>
          <w:rFonts w:ascii="Century" w:hAnsi="Century"/>
          <w:sz w:val="28"/>
          <w:szCs w:val="28"/>
        </w:rPr>
        <w:footnoteReference w:id="1"/>
      </w:r>
      <w:r w:rsidRPr="00AD00A2">
        <w:rPr>
          <w:rFonts w:ascii="Century" w:hAnsi="Century"/>
          <w:sz w:val="28"/>
          <w:szCs w:val="28"/>
        </w:rPr>
        <w:t xml:space="preserve">. </w:t>
      </w:r>
    </w:p>
    <w:p w:rsidR="009B7C17" w:rsidRPr="00AD00A2" w:rsidRDefault="009B7C17" w:rsidP="003B5071">
      <w:pPr>
        <w:ind w:left="-426" w:right="140"/>
        <w:jc w:val="both"/>
        <w:rPr>
          <w:rFonts w:ascii="Century" w:hAnsi="Century"/>
          <w:sz w:val="28"/>
          <w:szCs w:val="28"/>
        </w:rPr>
      </w:pPr>
      <w:r w:rsidRPr="00AD00A2">
        <w:rPr>
          <w:rFonts w:ascii="Century" w:hAnsi="Century"/>
          <w:sz w:val="28"/>
          <w:szCs w:val="28"/>
        </w:rPr>
        <w:t>In virtù di questo modello, deroghe al regime generale comunitario della concorrenza sono ammissibili in linea di principio, ma devono essere, non solo strumentali alla prestazione del servizio, ma anche ispirate a ragioni direttamente funzionali all’esercizio di pubblici poteri (</w:t>
      </w:r>
      <w:proofErr w:type="spellStart"/>
      <w:r w:rsidRPr="00AD00A2">
        <w:rPr>
          <w:rFonts w:ascii="Century" w:hAnsi="Century"/>
          <w:sz w:val="28"/>
          <w:szCs w:val="28"/>
        </w:rPr>
        <w:t>official</w:t>
      </w:r>
      <w:proofErr w:type="spellEnd"/>
      <w:r w:rsidRPr="00AD00A2">
        <w:rPr>
          <w:rFonts w:ascii="Century" w:hAnsi="Century"/>
          <w:sz w:val="28"/>
          <w:szCs w:val="28"/>
        </w:rPr>
        <w:t xml:space="preserve"> authority), verificate alla luce dei criteri di indispensabilità e di proporzionalità</w:t>
      </w:r>
      <w:r w:rsidRPr="00AD00A2">
        <w:rPr>
          <w:rStyle w:val="Rimandonotaapidipagina"/>
          <w:rFonts w:ascii="Century" w:hAnsi="Century"/>
          <w:sz w:val="28"/>
          <w:szCs w:val="28"/>
        </w:rPr>
        <w:footnoteReference w:id="2"/>
      </w:r>
      <w:r w:rsidRPr="00AD00A2">
        <w:rPr>
          <w:rFonts w:ascii="Century" w:hAnsi="Century"/>
          <w:sz w:val="28"/>
          <w:szCs w:val="28"/>
        </w:rPr>
        <w:t xml:space="preserve"> </w:t>
      </w:r>
      <w:r w:rsidRPr="00AD00A2">
        <w:rPr>
          <w:rStyle w:val="Rimandonotaapidipagina"/>
          <w:rFonts w:ascii="Century" w:hAnsi="Century"/>
          <w:sz w:val="28"/>
          <w:szCs w:val="28"/>
        </w:rPr>
        <w:footnoteReference w:id="3"/>
      </w:r>
      <w:r w:rsidRPr="00AD00A2">
        <w:rPr>
          <w:rFonts w:ascii="Century" w:hAnsi="Century"/>
          <w:sz w:val="28"/>
          <w:szCs w:val="28"/>
        </w:rPr>
        <w:t>.</w:t>
      </w:r>
    </w:p>
    <w:p w:rsidR="009B7C17" w:rsidRPr="00AD00A2" w:rsidRDefault="004B1B65" w:rsidP="003B5071">
      <w:pPr>
        <w:ind w:left="-426" w:right="140"/>
        <w:jc w:val="both"/>
        <w:rPr>
          <w:rFonts w:ascii="Century" w:hAnsi="Century"/>
          <w:sz w:val="28"/>
          <w:szCs w:val="28"/>
        </w:rPr>
      </w:pPr>
      <w:r>
        <w:rPr>
          <w:rFonts w:ascii="Century" w:hAnsi="Century"/>
          <w:sz w:val="28"/>
          <w:szCs w:val="28"/>
        </w:rPr>
        <w:lastRenderedPageBreak/>
        <w:t>L</w:t>
      </w:r>
      <w:r w:rsidR="009B7C17" w:rsidRPr="00AD00A2">
        <w:rPr>
          <w:rFonts w:ascii="Century" w:hAnsi="Century"/>
          <w:sz w:val="28"/>
          <w:szCs w:val="28"/>
        </w:rPr>
        <w:t>a</w:t>
      </w:r>
      <w:r>
        <w:rPr>
          <w:rFonts w:ascii="Century" w:hAnsi="Century"/>
          <w:sz w:val="28"/>
          <w:szCs w:val="28"/>
        </w:rPr>
        <w:t xml:space="preserve"> Corte di Giustizia delle CE </w:t>
      </w:r>
      <w:r w:rsidR="009B7C17" w:rsidRPr="00AD00A2">
        <w:rPr>
          <w:rFonts w:ascii="Century" w:hAnsi="Century"/>
          <w:sz w:val="28"/>
          <w:szCs w:val="28"/>
        </w:rPr>
        <w:t xml:space="preserve">assevera </w:t>
      </w:r>
      <w:r>
        <w:rPr>
          <w:rFonts w:ascii="Century" w:hAnsi="Century"/>
          <w:sz w:val="28"/>
          <w:szCs w:val="28"/>
        </w:rPr>
        <w:t xml:space="preserve">questo “statuto” </w:t>
      </w:r>
      <w:r w:rsidR="009B7C17" w:rsidRPr="00AD00A2">
        <w:rPr>
          <w:rFonts w:ascii="Century" w:hAnsi="Century"/>
          <w:sz w:val="28"/>
          <w:szCs w:val="28"/>
        </w:rPr>
        <w:t xml:space="preserve">a partire dal caso </w:t>
      </w:r>
      <w:proofErr w:type="spellStart"/>
      <w:r w:rsidR="009B7C17" w:rsidRPr="00AD00A2">
        <w:rPr>
          <w:rFonts w:ascii="Century" w:hAnsi="Century"/>
          <w:i/>
          <w:iCs/>
          <w:sz w:val="28"/>
          <w:szCs w:val="28"/>
        </w:rPr>
        <w:t>Reyners</w:t>
      </w:r>
      <w:proofErr w:type="spellEnd"/>
      <w:r w:rsidR="009B7C17" w:rsidRPr="00AD00A2">
        <w:rPr>
          <w:rStyle w:val="Rimandonotaapidipagina"/>
          <w:rFonts w:ascii="Century" w:hAnsi="Century"/>
          <w:sz w:val="28"/>
          <w:szCs w:val="28"/>
        </w:rPr>
        <w:footnoteReference w:id="4"/>
      </w:r>
      <w:r w:rsidR="009B7C17" w:rsidRPr="00AD00A2">
        <w:rPr>
          <w:rFonts w:ascii="Century" w:hAnsi="Century"/>
          <w:sz w:val="28"/>
          <w:szCs w:val="28"/>
        </w:rPr>
        <w:t>: nel TCE la libertà di circolazione dei servizi è una delle libertà-chiave; ogni eccezione, anche se espressa, deve essere interpretata molto strettamente, per impedire che la restrizione vada oltre il necessario.</w:t>
      </w:r>
    </w:p>
    <w:p w:rsidR="004B1B65" w:rsidRDefault="00AD00A2" w:rsidP="003B5071">
      <w:pPr>
        <w:ind w:left="-426" w:right="140"/>
        <w:jc w:val="both"/>
        <w:rPr>
          <w:rFonts w:ascii="Century" w:hAnsi="Century"/>
          <w:sz w:val="28"/>
          <w:szCs w:val="28"/>
        </w:rPr>
      </w:pPr>
      <w:r>
        <w:rPr>
          <w:rFonts w:ascii="Century" w:hAnsi="Century"/>
          <w:sz w:val="28"/>
          <w:szCs w:val="28"/>
        </w:rPr>
        <w:t>L</w:t>
      </w:r>
      <w:r w:rsidR="009B7C17" w:rsidRPr="00AD00A2">
        <w:rPr>
          <w:rFonts w:ascii="Century" w:hAnsi="Century"/>
          <w:sz w:val="28"/>
          <w:szCs w:val="28"/>
        </w:rPr>
        <w:t xml:space="preserve">e esenzioni </w:t>
      </w:r>
      <w:r>
        <w:rPr>
          <w:rFonts w:ascii="Century" w:hAnsi="Century"/>
          <w:sz w:val="28"/>
          <w:szCs w:val="28"/>
        </w:rPr>
        <w:t>sono ristrette a</w:t>
      </w:r>
      <w:r w:rsidR="009B7C17" w:rsidRPr="00AD00A2">
        <w:rPr>
          <w:rFonts w:ascii="Century" w:hAnsi="Century"/>
          <w:sz w:val="28"/>
          <w:szCs w:val="28"/>
        </w:rPr>
        <w:t xml:space="preserve"> quelle attività che siano connesse, direttamente e specificamente, all’esercizio di pubblici poteri (“</w:t>
      </w:r>
      <w:proofErr w:type="spellStart"/>
      <w:r w:rsidR="009B7C17" w:rsidRPr="00AD00A2">
        <w:rPr>
          <w:rFonts w:ascii="Century" w:hAnsi="Century"/>
          <w:i/>
          <w:iCs/>
          <w:sz w:val="28"/>
          <w:szCs w:val="28"/>
        </w:rPr>
        <w:t>official</w:t>
      </w:r>
      <w:proofErr w:type="spellEnd"/>
      <w:r w:rsidR="009B7C17" w:rsidRPr="00AD00A2">
        <w:rPr>
          <w:rFonts w:ascii="Century" w:hAnsi="Century"/>
          <w:i/>
          <w:iCs/>
          <w:sz w:val="28"/>
          <w:szCs w:val="28"/>
        </w:rPr>
        <w:t xml:space="preserve"> authority</w:t>
      </w:r>
      <w:r>
        <w:rPr>
          <w:rFonts w:ascii="Century" w:hAnsi="Century"/>
          <w:sz w:val="28"/>
          <w:szCs w:val="28"/>
        </w:rPr>
        <w:t>”):</w:t>
      </w:r>
      <w:r w:rsidR="009B7C17" w:rsidRPr="00AD00A2">
        <w:rPr>
          <w:rFonts w:ascii="Century" w:hAnsi="Century"/>
          <w:sz w:val="28"/>
          <w:szCs w:val="28"/>
        </w:rPr>
        <w:t xml:space="preserve"> la sentenza </w:t>
      </w:r>
      <w:proofErr w:type="spellStart"/>
      <w:r w:rsidR="009B7C17" w:rsidRPr="00AD00A2">
        <w:rPr>
          <w:rFonts w:ascii="Century" w:hAnsi="Century"/>
          <w:i/>
          <w:iCs/>
          <w:sz w:val="28"/>
          <w:szCs w:val="28"/>
        </w:rPr>
        <w:t>Reyners</w:t>
      </w:r>
      <w:proofErr w:type="spellEnd"/>
      <w:r w:rsidR="009B7C17" w:rsidRPr="00AD00A2">
        <w:rPr>
          <w:rFonts w:ascii="Century" w:hAnsi="Century"/>
          <w:sz w:val="28"/>
          <w:szCs w:val="28"/>
        </w:rPr>
        <w:t xml:space="preserve"> usa un “metodo destrutturante” ed integra il disposto dicendo che l’esclusione si applica solo a singole attività che compongono la professione</w:t>
      </w:r>
      <w:r w:rsidR="004B1B65">
        <w:rPr>
          <w:rFonts w:ascii="Century" w:hAnsi="Century"/>
          <w:sz w:val="28"/>
          <w:szCs w:val="28"/>
        </w:rPr>
        <w:t xml:space="preserve">. </w:t>
      </w:r>
    </w:p>
    <w:p w:rsidR="009B7C17" w:rsidRPr="00AD00A2" w:rsidRDefault="004B1B65" w:rsidP="003B5071">
      <w:pPr>
        <w:ind w:left="-426" w:right="140"/>
        <w:jc w:val="both"/>
        <w:rPr>
          <w:rFonts w:ascii="Century" w:hAnsi="Century"/>
          <w:sz w:val="28"/>
          <w:szCs w:val="28"/>
        </w:rPr>
      </w:pPr>
      <w:r>
        <w:rPr>
          <w:rFonts w:ascii="Century" w:hAnsi="Century"/>
          <w:sz w:val="28"/>
          <w:szCs w:val="28"/>
        </w:rPr>
        <w:t>Un</w:t>
      </w:r>
      <w:r w:rsidR="009B7C17" w:rsidRPr="00AD00A2">
        <w:rPr>
          <w:rFonts w:ascii="Century" w:hAnsi="Century"/>
          <w:sz w:val="28"/>
          <w:szCs w:val="28"/>
        </w:rPr>
        <w:t xml:space="preserve">a professione in quanto tale non è intrinsecamente esente; sono esenti, scomponendo la fattispecie-notaio nei singoli segmenti della sua pratica professionale. L’esenzione non </w:t>
      </w:r>
      <w:r w:rsidR="00AD00A2">
        <w:rPr>
          <w:rFonts w:ascii="Century" w:hAnsi="Century"/>
          <w:sz w:val="28"/>
          <w:szCs w:val="28"/>
        </w:rPr>
        <w:t>si estende a</w:t>
      </w:r>
      <w:r w:rsidR="009B7C17" w:rsidRPr="00AD00A2">
        <w:rPr>
          <w:rFonts w:ascii="Century" w:hAnsi="Century"/>
          <w:sz w:val="28"/>
          <w:szCs w:val="28"/>
        </w:rPr>
        <w:t>l resto della professione, perché le restrizioni alla libera circolazione devono essere proporzionali.</w:t>
      </w:r>
    </w:p>
    <w:p w:rsidR="009B7C17" w:rsidRPr="00AD00A2" w:rsidRDefault="009B7C17" w:rsidP="003B5071">
      <w:pPr>
        <w:ind w:left="-426" w:right="140"/>
        <w:jc w:val="both"/>
        <w:rPr>
          <w:rFonts w:ascii="Century" w:hAnsi="Century"/>
          <w:sz w:val="28"/>
          <w:szCs w:val="28"/>
        </w:rPr>
      </w:pPr>
      <w:r w:rsidRPr="00AD00A2">
        <w:rPr>
          <w:rFonts w:ascii="Century" w:hAnsi="Century"/>
          <w:sz w:val="28"/>
          <w:szCs w:val="28"/>
        </w:rPr>
        <w:t xml:space="preserve">Se una o alcune attività sono connesse con i pubblici poteri, questo non è abbastanza per esonerare la professione in sé, ed ha solo la limitata forza di giustificare la deroga anche a quell’attività che all’azione esentata sia così strettamente legata, da non poterne essere separata. Per noi notai, questo profilo richiama, come vedremo, la consulenza e il consiglio legale in quanto strumentali al perfezionamento dell’atto autentico. </w:t>
      </w:r>
    </w:p>
    <w:p w:rsidR="009B7C17" w:rsidRPr="00AD00A2" w:rsidRDefault="009B7C17" w:rsidP="003B5071">
      <w:pPr>
        <w:ind w:left="-426" w:right="140"/>
        <w:jc w:val="both"/>
        <w:rPr>
          <w:rFonts w:ascii="Century" w:hAnsi="Century"/>
          <w:sz w:val="28"/>
          <w:szCs w:val="28"/>
        </w:rPr>
      </w:pPr>
    </w:p>
    <w:p w:rsidR="003B5071" w:rsidRPr="00AD00A2" w:rsidRDefault="004C1C34" w:rsidP="003B5071">
      <w:pPr>
        <w:ind w:left="-426" w:right="140"/>
        <w:jc w:val="both"/>
        <w:rPr>
          <w:rFonts w:ascii="Century" w:hAnsi="Century"/>
          <w:sz w:val="28"/>
          <w:szCs w:val="28"/>
        </w:rPr>
      </w:pPr>
      <w:r w:rsidRPr="00AD00A2">
        <w:rPr>
          <w:rFonts w:ascii="Century" w:hAnsi="Century"/>
          <w:sz w:val="28"/>
          <w:szCs w:val="28"/>
        </w:rPr>
        <w:t xml:space="preserve">La giurisprudenza comunitaria attesta il valore della certezza pubblica portato dall’atto notarile, e qualifica già come rientrante nel divenire formalmente </w:t>
      </w:r>
      <w:proofErr w:type="spellStart"/>
      <w:r w:rsidRPr="00AD00A2">
        <w:rPr>
          <w:rFonts w:ascii="Century" w:hAnsi="Century"/>
          <w:sz w:val="28"/>
          <w:szCs w:val="28"/>
        </w:rPr>
        <w:t>procedimentalizzato</w:t>
      </w:r>
      <w:proofErr w:type="spellEnd"/>
      <w:r w:rsidRPr="00AD00A2">
        <w:rPr>
          <w:rFonts w:ascii="Century" w:hAnsi="Century"/>
          <w:sz w:val="28"/>
          <w:szCs w:val="28"/>
        </w:rPr>
        <w:t xml:space="preserve"> della funzione pubblica notarile, lo stesso dovere di consiglio, in quanto già esplicazione e svolgimento della funzione pubblica.</w:t>
      </w:r>
    </w:p>
    <w:p w:rsidR="003B5071" w:rsidRPr="00AD00A2" w:rsidRDefault="004C1C34" w:rsidP="003B5071">
      <w:pPr>
        <w:ind w:left="-426" w:right="140"/>
        <w:jc w:val="both"/>
        <w:rPr>
          <w:rFonts w:ascii="Century" w:hAnsi="Century"/>
          <w:sz w:val="28"/>
          <w:szCs w:val="28"/>
        </w:rPr>
      </w:pPr>
      <w:r w:rsidRPr="00AD00A2">
        <w:rPr>
          <w:rFonts w:ascii="Century" w:hAnsi="Century"/>
          <w:sz w:val="28"/>
          <w:szCs w:val="28"/>
        </w:rPr>
        <w:t xml:space="preserve">Nella sentenza </w:t>
      </w:r>
      <w:proofErr w:type="spellStart"/>
      <w:r w:rsidRPr="00AD00A2">
        <w:rPr>
          <w:rFonts w:ascii="Century" w:hAnsi="Century"/>
          <w:sz w:val="28"/>
          <w:szCs w:val="28"/>
        </w:rPr>
        <w:t>Unibank</w:t>
      </w:r>
      <w:proofErr w:type="spellEnd"/>
      <w:r w:rsidRPr="00AD00A2">
        <w:rPr>
          <w:rFonts w:ascii="Century" w:hAnsi="Century"/>
          <w:sz w:val="28"/>
          <w:szCs w:val="28"/>
        </w:rPr>
        <w:t xml:space="preserve"> del 1999 (causa C-260/97), la Corte di Giustizia CE afferma che l’atto notarile non è solo quel fatto istantaneo che si solennizza con il sigillo dello Stato, ma è in realtà l’arco di tempo di una “procedura notarile”: il tempo che comincia fin dal “primo appuntamento”, quando il notaio inizia a modellare quello che attraverso la consulenza e l’informazione diventerà il contratto certificato. </w:t>
      </w:r>
    </w:p>
    <w:p w:rsidR="003B5071" w:rsidRPr="00AD00A2" w:rsidRDefault="009B7C17" w:rsidP="003B5071">
      <w:pPr>
        <w:ind w:left="-426" w:right="140"/>
        <w:jc w:val="both"/>
        <w:rPr>
          <w:rFonts w:ascii="Century" w:hAnsi="Century"/>
          <w:sz w:val="28"/>
          <w:szCs w:val="28"/>
        </w:rPr>
      </w:pPr>
      <w:r w:rsidRPr="00AD00A2">
        <w:rPr>
          <w:rFonts w:ascii="Century" w:hAnsi="Century"/>
          <w:sz w:val="28"/>
          <w:szCs w:val="28"/>
        </w:rPr>
        <w:t xml:space="preserve">L’atto di </w:t>
      </w:r>
      <w:proofErr w:type="spellStart"/>
      <w:r w:rsidRPr="00AD00A2">
        <w:rPr>
          <w:rFonts w:ascii="Century" w:hAnsi="Century"/>
          <w:sz w:val="28"/>
          <w:szCs w:val="28"/>
        </w:rPr>
        <w:t>certazione</w:t>
      </w:r>
      <w:proofErr w:type="spellEnd"/>
      <w:r w:rsidRPr="00AD00A2">
        <w:rPr>
          <w:rFonts w:ascii="Century" w:hAnsi="Century"/>
          <w:sz w:val="28"/>
          <w:szCs w:val="28"/>
        </w:rPr>
        <w:t xml:space="preserve"> solennizzato dal sigillo infatti, per non essere solo pura forma pubblica, deve essere il traguardo finale di un percorso che assevera consapevolezza, informazione, equità rispetto agli interessi dei contraenti e legalità rispetto all’interesse generale, </w:t>
      </w:r>
      <w:r w:rsidRPr="00AD00A2">
        <w:rPr>
          <w:rFonts w:ascii="Century" w:hAnsi="Century"/>
          <w:i/>
          <w:sz w:val="28"/>
          <w:szCs w:val="28"/>
        </w:rPr>
        <w:t>par condicio</w:t>
      </w:r>
      <w:r w:rsidRPr="00AD00A2">
        <w:rPr>
          <w:rFonts w:ascii="Century" w:hAnsi="Century"/>
          <w:sz w:val="28"/>
          <w:szCs w:val="28"/>
        </w:rPr>
        <w:t>, contraddittorio, neutralità attiva (le stesse garanzie che fornisce un processo ai contraenti come alla collettività).</w:t>
      </w:r>
    </w:p>
    <w:p w:rsidR="003B5071" w:rsidRPr="00AD00A2" w:rsidRDefault="009B7C17" w:rsidP="003B5071">
      <w:pPr>
        <w:ind w:left="-426" w:right="140"/>
        <w:jc w:val="both"/>
        <w:rPr>
          <w:rFonts w:ascii="Century" w:hAnsi="Century"/>
          <w:sz w:val="28"/>
          <w:szCs w:val="28"/>
        </w:rPr>
      </w:pPr>
      <w:r w:rsidRPr="00AD00A2">
        <w:rPr>
          <w:rFonts w:ascii="Century" w:hAnsi="Century"/>
          <w:sz w:val="28"/>
          <w:szCs w:val="28"/>
        </w:rPr>
        <w:t>E i</w:t>
      </w:r>
      <w:r w:rsidR="004C1C34" w:rsidRPr="00AD00A2">
        <w:rPr>
          <w:rFonts w:ascii="Century" w:hAnsi="Century"/>
          <w:sz w:val="28"/>
          <w:szCs w:val="28"/>
        </w:rPr>
        <w:t xml:space="preserve">l dovere di consiglio - nel quadro della cultura della prevenzione - è già svolgimento della funzione pubblica: un vero “spazio di giustizia” non si accontenta di modelli economici e pretende il superamento di un preventivo </w:t>
      </w:r>
      <w:r w:rsidR="004C1C34" w:rsidRPr="00AD00A2">
        <w:rPr>
          <w:rFonts w:ascii="Century" w:hAnsi="Century"/>
          <w:sz w:val="28"/>
          <w:szCs w:val="28"/>
        </w:rPr>
        <w:lastRenderedPageBreak/>
        <w:t>“test di legalità” in funzione di norme di giustizia, di certezza, di vera eguaglianza (la conoscenza è</w:t>
      </w:r>
      <w:r w:rsidR="004C1C34" w:rsidRPr="00AD00A2">
        <w:rPr>
          <w:rFonts w:ascii="Century" w:hAnsi="Century" w:cs="Arial"/>
          <w:sz w:val="28"/>
          <w:szCs w:val="28"/>
        </w:rPr>
        <w:t xml:space="preserve"> i</w:t>
      </w:r>
      <w:r w:rsidR="004C1C34" w:rsidRPr="00AD00A2">
        <w:rPr>
          <w:rFonts w:ascii="Century" w:hAnsi="Century"/>
          <w:sz w:val="28"/>
          <w:szCs w:val="28"/>
        </w:rPr>
        <w:t xml:space="preserve">l valore esistenziale che garantisce la libertà. Non c’è libertà se le informazioni non sono imparziali e di qualità. Un cittadino senza informazione è un cittadino senza opinione). </w:t>
      </w:r>
    </w:p>
    <w:p w:rsidR="003B5071" w:rsidRPr="00AD00A2" w:rsidRDefault="004C1C34" w:rsidP="003B5071">
      <w:pPr>
        <w:ind w:left="-426" w:right="140"/>
        <w:jc w:val="both"/>
        <w:rPr>
          <w:rFonts w:ascii="Century" w:hAnsi="Century"/>
          <w:sz w:val="28"/>
          <w:szCs w:val="28"/>
        </w:rPr>
      </w:pPr>
      <w:r w:rsidRPr="00AD00A2">
        <w:rPr>
          <w:rFonts w:ascii="Century" w:hAnsi="Century"/>
          <w:sz w:val="28"/>
          <w:szCs w:val="28"/>
        </w:rPr>
        <w:t xml:space="preserve">La sentenza </w:t>
      </w:r>
      <w:proofErr w:type="spellStart"/>
      <w:r w:rsidRPr="00AD00A2">
        <w:rPr>
          <w:rFonts w:ascii="Century" w:hAnsi="Century"/>
          <w:i/>
          <w:iCs/>
          <w:sz w:val="28"/>
          <w:szCs w:val="28"/>
        </w:rPr>
        <w:t>Unibank</w:t>
      </w:r>
      <w:proofErr w:type="spellEnd"/>
      <w:r w:rsidRPr="00AD00A2">
        <w:rPr>
          <w:rFonts w:ascii="Century" w:hAnsi="Century"/>
          <w:sz w:val="28"/>
          <w:szCs w:val="28"/>
        </w:rPr>
        <w:t xml:space="preserve"> </w:t>
      </w:r>
      <w:r w:rsidR="0080055F">
        <w:rPr>
          <w:rFonts w:ascii="Century" w:hAnsi="Century"/>
          <w:sz w:val="28"/>
          <w:szCs w:val="28"/>
        </w:rPr>
        <w:t xml:space="preserve"> </w:t>
      </w:r>
      <w:r w:rsidRPr="00AD00A2">
        <w:rPr>
          <w:rFonts w:ascii="Century" w:hAnsi="Century"/>
          <w:sz w:val="28"/>
          <w:szCs w:val="28"/>
        </w:rPr>
        <w:t>fa del notaio una sorta di “magistratura della legalità imparziale del contratto”</w:t>
      </w:r>
      <w:r w:rsidRPr="00AD00A2">
        <w:rPr>
          <w:rFonts w:ascii="Century" w:hAnsi="Century"/>
          <w:i/>
          <w:sz w:val="28"/>
          <w:szCs w:val="28"/>
        </w:rPr>
        <w:t xml:space="preserve"> (</w:t>
      </w:r>
      <w:proofErr w:type="spellStart"/>
      <w:r w:rsidRPr="00AD00A2">
        <w:rPr>
          <w:rFonts w:ascii="Century" w:hAnsi="Century"/>
          <w:i/>
          <w:sz w:val="28"/>
          <w:szCs w:val="28"/>
        </w:rPr>
        <w:t>magistratus</w:t>
      </w:r>
      <w:proofErr w:type="spellEnd"/>
      <w:r w:rsidRPr="00AD00A2">
        <w:rPr>
          <w:rFonts w:ascii="Century" w:hAnsi="Century"/>
          <w:i/>
          <w:sz w:val="28"/>
          <w:szCs w:val="28"/>
        </w:rPr>
        <w:t xml:space="preserve"> </w:t>
      </w:r>
      <w:proofErr w:type="spellStart"/>
      <w:r w:rsidRPr="00AD00A2">
        <w:rPr>
          <w:rFonts w:ascii="Century" w:hAnsi="Century"/>
          <w:i/>
          <w:sz w:val="28"/>
          <w:szCs w:val="28"/>
        </w:rPr>
        <w:t>inter</w:t>
      </w:r>
      <w:proofErr w:type="spellEnd"/>
      <w:r w:rsidRPr="00AD00A2">
        <w:rPr>
          <w:rFonts w:ascii="Century" w:hAnsi="Century"/>
          <w:i/>
          <w:sz w:val="28"/>
          <w:szCs w:val="28"/>
        </w:rPr>
        <w:t xml:space="preserve"> </w:t>
      </w:r>
      <w:proofErr w:type="spellStart"/>
      <w:r w:rsidRPr="00AD00A2">
        <w:rPr>
          <w:rFonts w:ascii="Century" w:hAnsi="Century"/>
          <w:i/>
          <w:sz w:val="28"/>
          <w:szCs w:val="28"/>
        </w:rPr>
        <w:t>volentes-</w:t>
      </w:r>
      <w:r w:rsidRPr="00AD00A2">
        <w:rPr>
          <w:rFonts w:ascii="Century" w:hAnsi="Century"/>
          <w:bCs/>
          <w:sz w:val="28"/>
          <w:szCs w:val="28"/>
        </w:rPr>
        <w:t>magistratura</w:t>
      </w:r>
      <w:proofErr w:type="spellEnd"/>
      <w:r w:rsidRPr="00AD00A2">
        <w:rPr>
          <w:rFonts w:ascii="Century" w:hAnsi="Century"/>
          <w:bCs/>
          <w:sz w:val="28"/>
          <w:szCs w:val="28"/>
        </w:rPr>
        <w:t xml:space="preserve"> negoziale responsabile del procedimento di negoziato amministrato e assistito</w:t>
      </w:r>
      <w:r w:rsidRPr="00AD00A2">
        <w:rPr>
          <w:rFonts w:ascii="Century" w:hAnsi="Century"/>
          <w:i/>
          <w:sz w:val="28"/>
          <w:szCs w:val="28"/>
        </w:rPr>
        <w:t>)</w:t>
      </w:r>
      <w:r w:rsidRPr="00AD00A2">
        <w:rPr>
          <w:rFonts w:ascii="Century" w:hAnsi="Century"/>
          <w:sz w:val="28"/>
          <w:szCs w:val="28"/>
        </w:rPr>
        <w:t xml:space="preserve">, che, come il giudice, quale organo di validazione pubblica può dirigere il "giudizio" sulle qualità legali di un  accordo, per poi certificarlo alla conclusione della propria </w:t>
      </w:r>
      <w:r w:rsidRPr="00AD00A2">
        <w:rPr>
          <w:rFonts w:ascii="Century" w:hAnsi="Century"/>
          <w:i/>
          <w:sz w:val="28"/>
          <w:szCs w:val="28"/>
        </w:rPr>
        <w:t>“procedura di giustizia”</w:t>
      </w:r>
      <w:r w:rsidRPr="00AD00A2">
        <w:rPr>
          <w:rFonts w:ascii="Century" w:hAnsi="Century"/>
          <w:sz w:val="28"/>
          <w:szCs w:val="28"/>
        </w:rPr>
        <w:t xml:space="preserve">. </w:t>
      </w:r>
    </w:p>
    <w:p w:rsidR="003B5071" w:rsidRPr="00AD00A2" w:rsidRDefault="004C1C34" w:rsidP="003B5071">
      <w:pPr>
        <w:ind w:left="-426" w:right="140"/>
        <w:jc w:val="both"/>
        <w:rPr>
          <w:rFonts w:ascii="Century" w:hAnsi="Century"/>
          <w:sz w:val="28"/>
          <w:szCs w:val="28"/>
        </w:rPr>
      </w:pPr>
      <w:r w:rsidRPr="00AD00A2">
        <w:rPr>
          <w:rFonts w:ascii="Century" w:hAnsi="Century"/>
          <w:sz w:val="28"/>
          <w:szCs w:val="28"/>
        </w:rPr>
        <w:t>E’ in questo stesso senso che la prestazione notarile è parte dei concetti dell’Unione Europea. In termini economici, un vero e proprio “sistema di qualità e di certezza”.</w:t>
      </w:r>
    </w:p>
    <w:p w:rsidR="003B5071" w:rsidRPr="00AD00A2" w:rsidRDefault="009B7C17" w:rsidP="003B5071">
      <w:pPr>
        <w:ind w:left="-426" w:right="140"/>
        <w:jc w:val="both"/>
        <w:rPr>
          <w:rFonts w:ascii="Century" w:hAnsi="Century"/>
          <w:sz w:val="28"/>
          <w:szCs w:val="28"/>
        </w:rPr>
      </w:pPr>
      <w:r w:rsidRPr="00AD00A2">
        <w:rPr>
          <w:rFonts w:ascii="Century" w:hAnsi="Century"/>
          <w:sz w:val="28"/>
          <w:szCs w:val="28"/>
        </w:rPr>
        <w:t>Il notaio è come il giudice,</w:t>
      </w:r>
      <w:r w:rsidRPr="00AD00A2">
        <w:rPr>
          <w:rFonts w:ascii="Century" w:hAnsi="Century" w:cs="Angsana New"/>
          <w:sz w:val="28"/>
          <w:szCs w:val="28"/>
        </w:rPr>
        <w:t xml:space="preserve"> fattore </w:t>
      </w:r>
      <w:r w:rsidRPr="00AD00A2">
        <w:rPr>
          <w:rFonts w:ascii="Century" w:hAnsi="Century" w:cs="Angsana New"/>
          <w:bCs/>
          <w:sz w:val="28"/>
          <w:szCs w:val="28"/>
        </w:rPr>
        <w:t>terzo/organo di abilitazione e di validazione</w:t>
      </w:r>
      <w:r w:rsidRPr="00AD00A2">
        <w:rPr>
          <w:rFonts w:ascii="Century" w:hAnsi="Century" w:cs="Angsana New"/>
          <w:sz w:val="28"/>
          <w:szCs w:val="28"/>
        </w:rPr>
        <w:t xml:space="preserve">, intermediario ed esplicito, che </w:t>
      </w:r>
      <w:r w:rsidRPr="00AD00A2">
        <w:rPr>
          <w:rFonts w:ascii="Century" w:hAnsi="Century"/>
          <w:sz w:val="28"/>
          <w:szCs w:val="28"/>
        </w:rPr>
        <w:t xml:space="preserve">“triangola” e risolve lo scontro fra interessi contrapposti e irrisolti perché integra la </w:t>
      </w:r>
      <w:r w:rsidRPr="00AD00A2">
        <w:rPr>
          <w:rFonts w:ascii="Century" w:hAnsi="Century"/>
          <w:i/>
          <w:sz w:val="28"/>
          <w:szCs w:val="28"/>
        </w:rPr>
        <w:t>“magistratura del contratto”</w:t>
      </w:r>
      <w:r w:rsidRPr="00AD00A2">
        <w:rPr>
          <w:rFonts w:ascii="Century" w:hAnsi="Century"/>
          <w:sz w:val="28"/>
          <w:szCs w:val="28"/>
        </w:rPr>
        <w:t>; e come il giudice può dirigere il "giudizio" sulle qualità legali di un  accordo, per poi certificare e ammettere nei circuiti della legalità e con valore di verità legale per tutti (“</w:t>
      </w:r>
      <w:proofErr w:type="spellStart"/>
      <w:r w:rsidRPr="00AD00A2">
        <w:rPr>
          <w:rFonts w:ascii="Century" w:hAnsi="Century"/>
          <w:i/>
          <w:iCs/>
          <w:sz w:val="28"/>
          <w:szCs w:val="28"/>
        </w:rPr>
        <w:t>enforceable</w:t>
      </w:r>
      <w:proofErr w:type="spellEnd"/>
      <w:r w:rsidRPr="00AD00A2">
        <w:rPr>
          <w:rFonts w:ascii="Century" w:hAnsi="Century"/>
          <w:i/>
          <w:iCs/>
          <w:sz w:val="28"/>
          <w:szCs w:val="28"/>
        </w:rPr>
        <w:t xml:space="preserve"> </w:t>
      </w:r>
      <w:proofErr w:type="spellStart"/>
      <w:r w:rsidRPr="00AD00A2">
        <w:rPr>
          <w:rFonts w:ascii="Century" w:hAnsi="Century"/>
          <w:i/>
          <w:sz w:val="28"/>
          <w:szCs w:val="28"/>
        </w:rPr>
        <w:t>like</w:t>
      </w:r>
      <w:proofErr w:type="spellEnd"/>
      <w:r w:rsidRPr="00AD00A2">
        <w:rPr>
          <w:rFonts w:ascii="Century" w:hAnsi="Century"/>
          <w:i/>
          <w:sz w:val="28"/>
          <w:szCs w:val="28"/>
        </w:rPr>
        <w:t xml:space="preserve"> a </w:t>
      </w:r>
      <w:proofErr w:type="spellStart"/>
      <w:r w:rsidRPr="00AD00A2">
        <w:rPr>
          <w:rFonts w:ascii="Century" w:hAnsi="Century"/>
          <w:i/>
          <w:sz w:val="28"/>
          <w:szCs w:val="28"/>
        </w:rPr>
        <w:t>judgement</w:t>
      </w:r>
      <w:proofErr w:type="spellEnd"/>
      <w:r w:rsidRPr="00AD00A2">
        <w:rPr>
          <w:rFonts w:ascii="Century" w:hAnsi="Century"/>
          <w:i/>
          <w:sz w:val="28"/>
          <w:szCs w:val="28"/>
        </w:rPr>
        <w:t xml:space="preserve"> in court”</w:t>
      </w:r>
      <w:r w:rsidRPr="00AD00A2">
        <w:rPr>
          <w:rFonts w:ascii="Century" w:hAnsi="Century"/>
          <w:sz w:val="28"/>
          <w:szCs w:val="28"/>
        </w:rPr>
        <w:t xml:space="preserve">), alla conclusione della </w:t>
      </w:r>
      <w:r w:rsidRPr="00AD00A2">
        <w:rPr>
          <w:rFonts w:ascii="Century" w:hAnsi="Century"/>
          <w:i/>
          <w:sz w:val="28"/>
          <w:szCs w:val="28"/>
        </w:rPr>
        <w:t>“procedura di giustizia”</w:t>
      </w:r>
      <w:r w:rsidRPr="00AD00A2">
        <w:rPr>
          <w:rFonts w:ascii="Century" w:hAnsi="Century"/>
          <w:sz w:val="28"/>
          <w:szCs w:val="28"/>
        </w:rPr>
        <w:t xml:space="preserve"> che è allo stesso tempo un </w:t>
      </w:r>
      <w:r w:rsidRPr="00AD00A2">
        <w:rPr>
          <w:rFonts w:ascii="Century" w:hAnsi="Century" w:cs="Angsana New"/>
          <w:sz w:val="28"/>
          <w:szCs w:val="28"/>
        </w:rPr>
        <w:t>“</w:t>
      </w:r>
      <w:r w:rsidRPr="00AD00A2">
        <w:rPr>
          <w:rFonts w:ascii="Century" w:hAnsi="Century" w:cs="Angsana New"/>
          <w:bCs/>
          <w:sz w:val="28"/>
          <w:szCs w:val="28"/>
        </w:rPr>
        <w:t>negoziato amministrato e assistito notarile</w:t>
      </w:r>
      <w:r w:rsidRPr="00AD00A2">
        <w:rPr>
          <w:rFonts w:ascii="Century" w:hAnsi="Century" w:cs="Angsana New"/>
          <w:sz w:val="28"/>
          <w:szCs w:val="28"/>
        </w:rPr>
        <w:t xml:space="preserve">”: </w:t>
      </w:r>
      <w:r w:rsidRPr="00AD00A2">
        <w:rPr>
          <w:rFonts w:ascii="Century" w:hAnsi="Century"/>
          <w:sz w:val="28"/>
          <w:szCs w:val="28"/>
        </w:rPr>
        <w:t>ciò che ha constatato per aver presenziato dall’inizio all’intera formazione del rapporto.</w:t>
      </w:r>
    </w:p>
    <w:p w:rsidR="003B5071" w:rsidRPr="0080055F" w:rsidRDefault="009B7C17" w:rsidP="003B5071">
      <w:pPr>
        <w:ind w:left="-426" w:right="140"/>
        <w:jc w:val="both"/>
        <w:rPr>
          <w:rFonts w:ascii="Century" w:hAnsi="Century"/>
          <w:sz w:val="28"/>
          <w:szCs w:val="28"/>
        </w:rPr>
      </w:pPr>
      <w:r w:rsidRPr="00AD00A2">
        <w:rPr>
          <w:rFonts w:ascii="Century" w:hAnsi="Century"/>
          <w:sz w:val="28"/>
          <w:szCs w:val="28"/>
        </w:rPr>
        <w:t>E che come il processo, naturalmente culmi</w:t>
      </w:r>
      <w:r w:rsidRPr="0080055F">
        <w:rPr>
          <w:rFonts w:ascii="Century" w:hAnsi="Century"/>
          <w:sz w:val="28"/>
          <w:szCs w:val="28"/>
        </w:rPr>
        <w:t>na con la solennizzazione dei risultati in nome dello Stato. L'atto autentico come "sentenza preventiva".</w:t>
      </w:r>
    </w:p>
    <w:p w:rsidR="004B1B65" w:rsidRDefault="004B1B65" w:rsidP="00AD00A2">
      <w:pPr>
        <w:ind w:left="-426" w:right="140"/>
        <w:jc w:val="both"/>
        <w:rPr>
          <w:rFonts w:ascii="Century" w:hAnsi="Century"/>
          <w:sz w:val="28"/>
          <w:szCs w:val="28"/>
        </w:rPr>
      </w:pPr>
    </w:p>
    <w:p w:rsidR="00AD00A2" w:rsidRPr="0080055F" w:rsidRDefault="009B7C17" w:rsidP="00AD00A2">
      <w:pPr>
        <w:ind w:left="-426" w:right="140"/>
        <w:jc w:val="both"/>
        <w:rPr>
          <w:rFonts w:ascii="Century" w:hAnsi="Century"/>
          <w:sz w:val="28"/>
          <w:szCs w:val="28"/>
        </w:rPr>
      </w:pPr>
      <w:r w:rsidRPr="0080055F">
        <w:rPr>
          <w:rFonts w:ascii="Century" w:hAnsi="Century"/>
          <w:sz w:val="28"/>
          <w:szCs w:val="28"/>
        </w:rPr>
        <w:t>La “</w:t>
      </w:r>
      <w:r w:rsidRPr="0080055F">
        <w:rPr>
          <w:rFonts w:ascii="Century" w:hAnsi="Century"/>
          <w:i/>
          <w:iCs/>
          <w:sz w:val="28"/>
          <w:szCs w:val="28"/>
        </w:rPr>
        <w:t>risoluzione Medina</w:t>
      </w:r>
      <w:r w:rsidRPr="0080055F">
        <w:rPr>
          <w:rFonts w:ascii="Century" w:hAnsi="Century"/>
          <w:sz w:val="28"/>
          <w:szCs w:val="28"/>
        </w:rPr>
        <w:t>” del Parlamento europeo 18 dicembre 2008, (2008/2124 INI)) ricorda che la struttura della risposta alla domanda di giustizi</w:t>
      </w:r>
      <w:r w:rsidR="00AD00A2" w:rsidRPr="0080055F">
        <w:rPr>
          <w:rFonts w:ascii="Century" w:hAnsi="Century"/>
          <w:sz w:val="28"/>
          <w:szCs w:val="28"/>
        </w:rPr>
        <w:t>a comunitaria, è incardinata su</w:t>
      </w:r>
      <w:r w:rsidRPr="0080055F">
        <w:rPr>
          <w:rFonts w:ascii="Century" w:hAnsi="Century"/>
          <w:sz w:val="28"/>
          <w:szCs w:val="28"/>
        </w:rPr>
        <w:t xml:space="preserve"> due pilastri, ciascuno presieduto da una “funzione </w:t>
      </w:r>
      <w:r w:rsidR="003B5071" w:rsidRPr="0080055F">
        <w:rPr>
          <w:rFonts w:ascii="Century" w:hAnsi="Century"/>
          <w:sz w:val="28"/>
          <w:szCs w:val="28"/>
        </w:rPr>
        <w:t xml:space="preserve">pubblica </w:t>
      </w:r>
      <w:r w:rsidRPr="0080055F">
        <w:rPr>
          <w:rFonts w:ascii="Century" w:hAnsi="Century"/>
          <w:sz w:val="28"/>
          <w:szCs w:val="28"/>
        </w:rPr>
        <w:t>guardiana” (</w:t>
      </w:r>
      <w:proofErr w:type="spellStart"/>
      <w:r w:rsidRPr="0080055F">
        <w:rPr>
          <w:rFonts w:ascii="Century" w:hAnsi="Century"/>
          <w:i/>
          <w:sz w:val="28"/>
          <w:szCs w:val="28"/>
        </w:rPr>
        <w:t>gatekeeper</w:t>
      </w:r>
      <w:proofErr w:type="spellEnd"/>
      <w:r w:rsidRPr="0080055F">
        <w:rPr>
          <w:rFonts w:ascii="Century" w:hAnsi="Century"/>
          <w:i/>
          <w:sz w:val="28"/>
          <w:szCs w:val="28"/>
        </w:rPr>
        <w:t>, appunto)</w:t>
      </w:r>
      <w:r w:rsidR="003B5071" w:rsidRPr="0080055F">
        <w:rPr>
          <w:rFonts w:ascii="Century" w:hAnsi="Century"/>
          <w:sz w:val="28"/>
          <w:szCs w:val="28"/>
        </w:rPr>
        <w:t xml:space="preserve">: la sfera del contenzioso, alla quale è preposto il giudice; la sfera non contenziosa, alla quale è preposto il notaio. </w:t>
      </w:r>
    </w:p>
    <w:p w:rsidR="009B7C17" w:rsidRPr="0080055F" w:rsidRDefault="003B5071" w:rsidP="0080055F">
      <w:pPr>
        <w:tabs>
          <w:tab w:val="left" w:pos="9356"/>
        </w:tabs>
        <w:ind w:left="-426" w:right="140"/>
        <w:jc w:val="both"/>
        <w:rPr>
          <w:rFonts w:ascii="Century" w:hAnsi="Century"/>
          <w:sz w:val="28"/>
          <w:szCs w:val="28"/>
        </w:rPr>
      </w:pPr>
      <w:r w:rsidRPr="0080055F">
        <w:rPr>
          <w:rFonts w:ascii="Century" w:hAnsi="Century"/>
          <w:sz w:val="28"/>
          <w:szCs w:val="28"/>
        </w:rPr>
        <w:t>In termini economici, un completo “sistema di qualità e di certezza”</w:t>
      </w:r>
      <w:r w:rsidR="00AD00A2" w:rsidRPr="0080055F">
        <w:rPr>
          <w:rFonts w:ascii="Century" w:hAnsi="Century"/>
          <w:sz w:val="28"/>
          <w:szCs w:val="28"/>
        </w:rPr>
        <w:t>:</w:t>
      </w:r>
      <w:r w:rsidR="009B7C17" w:rsidRPr="0080055F">
        <w:rPr>
          <w:rFonts w:ascii="Century" w:hAnsi="Century"/>
          <w:sz w:val="28"/>
          <w:szCs w:val="28"/>
        </w:rPr>
        <w:t xml:space="preserve"> il contratto del notaio è il “giuridico” che nell’equilibrio dell’accordo è legge in atto, che si distingue dal “giudiziario”, luogo del conflitto</w:t>
      </w:r>
      <w:r w:rsidR="00AD00A2" w:rsidRPr="0080055F">
        <w:rPr>
          <w:rFonts w:ascii="Century" w:hAnsi="Century"/>
          <w:sz w:val="28"/>
          <w:szCs w:val="28"/>
        </w:rPr>
        <w:t>. Sistema organico di</w:t>
      </w:r>
      <w:r w:rsidR="009B7C17" w:rsidRPr="0080055F">
        <w:rPr>
          <w:rFonts w:ascii="Century" w:hAnsi="Century"/>
          <w:bCs/>
          <w:sz w:val="28"/>
          <w:szCs w:val="28"/>
        </w:rPr>
        <w:t xml:space="preserve"> </w:t>
      </w:r>
      <w:r w:rsidR="009B7C17" w:rsidRPr="0080055F">
        <w:rPr>
          <w:rFonts w:ascii="Century" w:hAnsi="Century"/>
          <w:bCs/>
          <w:i/>
          <w:sz w:val="28"/>
          <w:szCs w:val="28"/>
        </w:rPr>
        <w:t xml:space="preserve">best </w:t>
      </w:r>
      <w:proofErr w:type="spellStart"/>
      <w:r w:rsidR="009B7C17" w:rsidRPr="0080055F">
        <w:rPr>
          <w:rFonts w:ascii="Century" w:hAnsi="Century"/>
          <w:bCs/>
          <w:i/>
          <w:sz w:val="28"/>
          <w:szCs w:val="28"/>
        </w:rPr>
        <w:t>practice</w:t>
      </w:r>
      <w:proofErr w:type="spellEnd"/>
      <w:r w:rsidR="009B7C17" w:rsidRPr="0080055F">
        <w:rPr>
          <w:rFonts w:ascii="Century" w:hAnsi="Century"/>
          <w:sz w:val="28"/>
          <w:szCs w:val="28"/>
        </w:rPr>
        <w:t xml:space="preserve"> che si presta ad essere il </w:t>
      </w:r>
      <w:r w:rsidR="009B7C17" w:rsidRPr="0080055F">
        <w:rPr>
          <w:rFonts w:ascii="Century" w:hAnsi="Century"/>
          <w:bCs/>
          <w:sz w:val="28"/>
          <w:szCs w:val="28"/>
        </w:rPr>
        <w:t>mezzo proporzionato</w:t>
      </w:r>
      <w:r w:rsidR="009B7C17" w:rsidRPr="0080055F">
        <w:rPr>
          <w:rFonts w:ascii="Century" w:hAnsi="Century"/>
          <w:sz w:val="28"/>
          <w:szCs w:val="28"/>
        </w:rPr>
        <w:t xml:space="preserve">, tanto per la </w:t>
      </w:r>
      <w:r w:rsidR="009B7C17" w:rsidRPr="0080055F">
        <w:rPr>
          <w:rFonts w:ascii="Century" w:hAnsi="Century"/>
          <w:bCs/>
          <w:sz w:val="28"/>
          <w:szCs w:val="28"/>
        </w:rPr>
        <w:t>sistemazione di un accordo</w:t>
      </w:r>
      <w:r w:rsidR="009B7C17" w:rsidRPr="0080055F">
        <w:rPr>
          <w:rFonts w:ascii="Century" w:hAnsi="Century"/>
          <w:sz w:val="28"/>
          <w:szCs w:val="28"/>
        </w:rPr>
        <w:t xml:space="preserve">, quanto per la </w:t>
      </w:r>
      <w:r w:rsidR="009B7C17" w:rsidRPr="0080055F">
        <w:rPr>
          <w:rFonts w:ascii="Century" w:hAnsi="Century"/>
          <w:bCs/>
          <w:sz w:val="28"/>
          <w:szCs w:val="28"/>
        </w:rPr>
        <w:t>prevenzione e la composizione di una lite</w:t>
      </w:r>
      <w:r w:rsidR="009B7C17" w:rsidRPr="0080055F">
        <w:rPr>
          <w:rFonts w:ascii="Century" w:hAnsi="Century"/>
          <w:sz w:val="28"/>
          <w:szCs w:val="28"/>
        </w:rPr>
        <w:t xml:space="preserve"> in tutta l’</w:t>
      </w:r>
      <w:r w:rsidR="009B7C17" w:rsidRPr="0080055F">
        <w:rPr>
          <w:rFonts w:ascii="Century" w:hAnsi="Century"/>
          <w:bCs/>
          <w:sz w:val="28"/>
          <w:szCs w:val="28"/>
        </w:rPr>
        <w:t>area del diritto privato</w:t>
      </w:r>
      <w:r w:rsidR="009B7C17" w:rsidRPr="0080055F">
        <w:rPr>
          <w:rFonts w:ascii="Century" w:hAnsi="Century"/>
          <w:sz w:val="28"/>
          <w:szCs w:val="28"/>
        </w:rPr>
        <w:t xml:space="preserve">, ma </w:t>
      </w:r>
      <w:r w:rsidR="009B7C17" w:rsidRPr="0080055F">
        <w:rPr>
          <w:rFonts w:ascii="Century" w:hAnsi="Century"/>
          <w:bCs/>
          <w:sz w:val="28"/>
          <w:szCs w:val="28"/>
        </w:rPr>
        <w:t>più in generale</w:t>
      </w:r>
      <w:r w:rsidR="009B7C17" w:rsidRPr="0080055F">
        <w:rPr>
          <w:rFonts w:ascii="Century" w:hAnsi="Century"/>
          <w:sz w:val="28"/>
          <w:szCs w:val="28"/>
        </w:rPr>
        <w:t xml:space="preserve"> in tutte le aree che ruotano intorno alla </w:t>
      </w:r>
      <w:r w:rsidR="009B7C17" w:rsidRPr="0080055F">
        <w:rPr>
          <w:rFonts w:ascii="Century" w:hAnsi="Century"/>
          <w:bCs/>
          <w:sz w:val="28"/>
          <w:szCs w:val="28"/>
        </w:rPr>
        <w:t>tutela della legalità</w:t>
      </w:r>
      <w:r w:rsidR="009B7C17" w:rsidRPr="0080055F">
        <w:rPr>
          <w:rFonts w:ascii="Century" w:hAnsi="Century"/>
          <w:sz w:val="28"/>
          <w:szCs w:val="28"/>
        </w:rPr>
        <w:t>.</w:t>
      </w:r>
    </w:p>
    <w:p w:rsidR="0080055F" w:rsidRPr="0080055F" w:rsidRDefault="0080055F" w:rsidP="0080055F">
      <w:pPr>
        <w:tabs>
          <w:tab w:val="left" w:pos="9356"/>
        </w:tabs>
        <w:ind w:left="-426" w:right="140"/>
        <w:jc w:val="both"/>
        <w:rPr>
          <w:rFonts w:ascii="Century" w:hAnsi="Century" w:cs="Angsana New"/>
          <w:sz w:val="28"/>
          <w:szCs w:val="28"/>
        </w:rPr>
      </w:pPr>
      <w:r w:rsidRPr="0080055F">
        <w:rPr>
          <w:rFonts w:ascii="Century" w:hAnsi="Century" w:cs="Angsana New"/>
          <w:sz w:val="28"/>
          <w:szCs w:val="28"/>
        </w:rPr>
        <w:t xml:space="preserve">La necessità di una funzione pubblica imparziale, ne esclude intrinsecamente, avvocati e commercialisti: essi svolgono un compito certamente di cura della legalità, ma di quella che viene definita “legalità di parte”, irriducibile per strutturale conflitto di interessi, alla legalità </w:t>
      </w:r>
      <w:r w:rsidRPr="0080055F">
        <w:rPr>
          <w:rFonts w:ascii="Century" w:hAnsi="Century" w:cs="Angsana New"/>
          <w:sz w:val="28"/>
          <w:szCs w:val="28"/>
        </w:rPr>
        <w:lastRenderedPageBreak/>
        <w:t>preposta alla cura degli interessi generali</w:t>
      </w:r>
      <w:r w:rsidRPr="0080055F">
        <w:rPr>
          <w:rStyle w:val="Rimandonotaapidipagina"/>
          <w:rFonts w:ascii="Century" w:hAnsi="Century" w:cs="Angsana New"/>
          <w:sz w:val="28"/>
          <w:szCs w:val="28"/>
        </w:rPr>
        <w:footnoteReference w:id="5"/>
      </w:r>
      <w:r w:rsidRPr="0080055F">
        <w:rPr>
          <w:rFonts w:ascii="Century" w:hAnsi="Century" w:cs="Angsana New"/>
          <w:sz w:val="28"/>
          <w:szCs w:val="28"/>
        </w:rPr>
        <w:t>.</w:t>
      </w:r>
      <w:r>
        <w:rPr>
          <w:rFonts w:ascii="Century" w:hAnsi="Century" w:cs="Angsana New"/>
          <w:sz w:val="28"/>
          <w:szCs w:val="28"/>
        </w:rPr>
        <w:t xml:space="preserve"> Tant’è che ove queste professioni esercitino una funzione pubblica, ad es. in una procedura concorsuale, detta qualità viene loro attribuita espressamente dalla legge nei limiti di quel mandato, e non oltre, dato che non è ad essi intrinseca</w:t>
      </w:r>
      <w:r w:rsidR="004B1B65">
        <w:rPr>
          <w:rFonts w:ascii="Century" w:hAnsi="Century" w:cs="Angsana New"/>
          <w:sz w:val="28"/>
          <w:szCs w:val="28"/>
        </w:rPr>
        <w:t>, ma eccezionale</w:t>
      </w:r>
      <w:r>
        <w:rPr>
          <w:rFonts w:ascii="Century" w:hAnsi="Century" w:cs="Angsana New"/>
          <w:sz w:val="28"/>
          <w:szCs w:val="28"/>
        </w:rPr>
        <w:t>.</w:t>
      </w:r>
    </w:p>
    <w:p w:rsidR="0080055F" w:rsidRPr="0080055F" w:rsidRDefault="0080055F" w:rsidP="0080055F">
      <w:pPr>
        <w:tabs>
          <w:tab w:val="left" w:pos="9356"/>
        </w:tabs>
        <w:ind w:left="-426" w:right="279"/>
        <w:jc w:val="both"/>
        <w:rPr>
          <w:rFonts w:ascii="Century" w:hAnsi="Century" w:cs="Angsana New"/>
          <w:sz w:val="28"/>
          <w:szCs w:val="28"/>
        </w:rPr>
      </w:pPr>
      <w:r w:rsidRPr="0080055F">
        <w:rPr>
          <w:rFonts w:ascii="Century" w:hAnsi="Century" w:cs="Angsana New"/>
          <w:sz w:val="28"/>
          <w:szCs w:val="28"/>
        </w:rPr>
        <w:t xml:space="preserve">Il fatto è che essere professionista che ha compiti all’interno di un quadro di legalità, non significa che il suo rispetto (da ammettere per definizione) sia automaticamente anche </w:t>
      </w:r>
      <w:proofErr w:type="spellStart"/>
      <w:r w:rsidRPr="0080055F">
        <w:rPr>
          <w:rFonts w:ascii="Century" w:hAnsi="Century" w:cs="Angsana New"/>
          <w:sz w:val="28"/>
          <w:szCs w:val="28"/>
        </w:rPr>
        <w:t>funzionalizzato</w:t>
      </w:r>
      <w:proofErr w:type="spellEnd"/>
      <w:r w:rsidRPr="0080055F">
        <w:rPr>
          <w:rFonts w:ascii="Century" w:hAnsi="Century" w:cs="Angsana New"/>
          <w:sz w:val="28"/>
          <w:szCs w:val="28"/>
        </w:rPr>
        <w:t xml:space="preserve"> all’interesse di una controparte del proprio cliente, o ancor di più, di quei futuri soggetti del mercato la cui situazione sarà influenzata dalla qualità dell’odierna vicenda giuridica, e soprattutto agli interessi generali. E’ quando si vuole che effetti propri a chi li ha voluti, siano “imposti” anche a terzi estranei (</w:t>
      </w:r>
      <w:r w:rsidRPr="0080055F">
        <w:rPr>
          <w:rFonts w:ascii="Century" w:hAnsi="Century" w:cs="Angsana New"/>
          <w:i/>
          <w:iCs/>
          <w:sz w:val="28"/>
          <w:szCs w:val="28"/>
        </w:rPr>
        <w:t xml:space="preserve">erga </w:t>
      </w:r>
      <w:proofErr w:type="spellStart"/>
      <w:r w:rsidRPr="0080055F">
        <w:rPr>
          <w:rFonts w:ascii="Century" w:hAnsi="Century" w:cs="Angsana New"/>
          <w:i/>
          <w:iCs/>
          <w:sz w:val="28"/>
          <w:szCs w:val="28"/>
        </w:rPr>
        <w:t>omnes</w:t>
      </w:r>
      <w:proofErr w:type="spellEnd"/>
      <w:r w:rsidRPr="0080055F">
        <w:rPr>
          <w:rFonts w:ascii="Century" w:hAnsi="Century" w:cs="Angsana New"/>
          <w:sz w:val="28"/>
          <w:szCs w:val="28"/>
        </w:rPr>
        <w:t xml:space="preserve">), che questi effetti non possono essere il prodotto dell’azione, pur legale, di un professionista fedele solo al cliente che lo paga; occorre che il professionista sia del tipo che ha conseguito una particolare abilitazione, all’esito di un particolare ed unico </w:t>
      </w:r>
      <w:r w:rsidRPr="0080055F">
        <w:rPr>
          <w:rFonts w:ascii="Century" w:hAnsi="Century" w:cs="Angsana New"/>
          <w:i/>
          <w:iCs/>
          <w:sz w:val="28"/>
          <w:szCs w:val="28"/>
        </w:rPr>
        <w:t>training</w:t>
      </w:r>
      <w:r w:rsidRPr="0080055F">
        <w:rPr>
          <w:rFonts w:ascii="Century" w:hAnsi="Century" w:cs="Angsana New"/>
          <w:sz w:val="28"/>
          <w:szCs w:val="28"/>
        </w:rPr>
        <w:t xml:space="preserve"> che non struttura un “professionista-campione del proprio cliente” in permanente </w:t>
      </w:r>
      <w:r w:rsidRPr="0080055F">
        <w:rPr>
          <w:rFonts w:ascii="Century" w:hAnsi="Century" w:cs="Angsana New"/>
          <w:bCs/>
          <w:sz w:val="28"/>
          <w:szCs w:val="28"/>
        </w:rPr>
        <w:t>conflitto di interessi</w:t>
      </w:r>
      <w:r w:rsidRPr="0080055F">
        <w:rPr>
          <w:rFonts w:ascii="Century" w:hAnsi="Century" w:cs="Angsana New"/>
          <w:sz w:val="28"/>
          <w:szCs w:val="28"/>
        </w:rPr>
        <w:t xml:space="preserve"> fra l’interesse privato del proprio cliente, e quello pubblico.</w:t>
      </w:r>
    </w:p>
    <w:p w:rsidR="0080055F" w:rsidRPr="00AD00A2" w:rsidRDefault="0080055F" w:rsidP="0080055F">
      <w:pPr>
        <w:tabs>
          <w:tab w:val="left" w:pos="9356"/>
        </w:tabs>
        <w:ind w:left="-426" w:right="140"/>
        <w:jc w:val="both"/>
        <w:rPr>
          <w:rFonts w:ascii="Century" w:hAnsi="Century"/>
          <w:sz w:val="28"/>
          <w:szCs w:val="28"/>
        </w:rPr>
      </w:pPr>
    </w:p>
    <w:sectPr w:rsidR="0080055F" w:rsidRPr="00AD00A2" w:rsidSect="00B9595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C17" w:rsidRDefault="009B7C17" w:rsidP="009B7C17">
      <w:r>
        <w:separator/>
      </w:r>
    </w:p>
  </w:endnote>
  <w:endnote w:type="continuationSeparator" w:id="0">
    <w:p w:rsidR="009B7C17" w:rsidRDefault="009B7C17" w:rsidP="009B7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C17" w:rsidRDefault="009B7C17" w:rsidP="009B7C17">
      <w:r>
        <w:separator/>
      </w:r>
    </w:p>
  </w:footnote>
  <w:footnote w:type="continuationSeparator" w:id="0">
    <w:p w:rsidR="009B7C17" w:rsidRDefault="009B7C17" w:rsidP="009B7C17">
      <w:r>
        <w:continuationSeparator/>
      </w:r>
    </w:p>
  </w:footnote>
  <w:footnote w:id="1">
    <w:p w:rsidR="009B7C17" w:rsidRDefault="009B7C17" w:rsidP="003B5071">
      <w:pPr>
        <w:pStyle w:val="Testonotaapidipagina"/>
        <w:ind w:left="-426" w:right="140"/>
        <w:jc w:val="both"/>
        <w:rPr>
          <w:rFonts w:ascii="Arial Narrow" w:hAnsi="Arial Narrow"/>
        </w:rPr>
      </w:pPr>
      <w:r>
        <w:rPr>
          <w:rStyle w:val="Rimandonotaapidipagina"/>
          <w:rFonts w:ascii="Arial Narrow" w:hAnsi="Arial Narrow"/>
        </w:rPr>
        <w:footnoteRef/>
      </w:r>
      <w:r>
        <w:rPr>
          <w:rFonts w:ascii="Arial Narrow" w:hAnsi="Arial Narrow"/>
        </w:rPr>
        <w:t xml:space="preserve"> L’art. 8, comma 2, l. n. 287/90 e successive modificazioni (legge antitrust  italiana) impiega analoga formula.</w:t>
      </w:r>
    </w:p>
  </w:footnote>
  <w:footnote w:id="2">
    <w:p w:rsidR="009B7C17" w:rsidRDefault="009B7C17" w:rsidP="003B5071">
      <w:pPr>
        <w:autoSpaceDE w:val="0"/>
        <w:autoSpaceDN w:val="0"/>
        <w:adjustRightInd w:val="0"/>
        <w:ind w:left="-426" w:right="140"/>
        <w:jc w:val="both"/>
        <w:rPr>
          <w:rFonts w:ascii="Arial Narrow" w:hAnsi="Arial Narrow"/>
          <w:sz w:val="20"/>
        </w:rPr>
      </w:pPr>
      <w:r>
        <w:rPr>
          <w:rStyle w:val="Rimandonotaapidipagina"/>
          <w:rFonts w:ascii="Arial Narrow" w:hAnsi="Arial Narrow"/>
          <w:sz w:val="20"/>
        </w:rPr>
        <w:footnoteRef/>
      </w:r>
      <w:r>
        <w:rPr>
          <w:rFonts w:ascii="Arial Narrow" w:hAnsi="Arial Narrow"/>
          <w:sz w:val="20"/>
        </w:rPr>
        <w:t xml:space="preserve"> Il principio di proporzionalità esige che ogni misura che limiti l'esercizio delle libertà di cui agli articoli 43 e 49 TCE sia, al tempo stesso, necessaria e adeguata rispetto agli obiettivi perseguiti (</w:t>
      </w:r>
      <w:r>
        <w:rPr>
          <w:rFonts w:ascii="Arial Narrow" w:hAnsi="Arial Narrow"/>
          <w:sz w:val="20"/>
          <w:szCs w:val="14"/>
        </w:rPr>
        <w:t xml:space="preserve">64 </w:t>
      </w:r>
      <w:r>
        <w:rPr>
          <w:rFonts w:ascii="Arial Narrow" w:hAnsi="Arial Narrow"/>
          <w:sz w:val="20"/>
          <w:szCs w:val="20"/>
        </w:rPr>
        <w:t xml:space="preserve">Causa T-260/94, </w:t>
      </w:r>
      <w:r>
        <w:rPr>
          <w:rFonts w:ascii="Arial Narrow" w:hAnsi="Arial Narrow"/>
          <w:i/>
          <w:iCs/>
          <w:sz w:val="20"/>
          <w:szCs w:val="20"/>
        </w:rPr>
        <w:t>Air Inter SA</w:t>
      </w:r>
      <w:r>
        <w:rPr>
          <w:rFonts w:ascii="Arial Narrow" w:hAnsi="Arial Narrow"/>
          <w:sz w:val="20"/>
          <w:szCs w:val="20"/>
        </w:rPr>
        <w:t>). Ad esempio, la Corte ha escluso l'applicazione della deroga relativa all'ordine pubblico in casi in cui essa non era sufficientemente giustificata e l'obiettivo perseguito</w:t>
      </w:r>
      <w:r>
        <w:rPr>
          <w:rFonts w:ascii="Arial Narrow" w:hAnsi="Arial Narrow"/>
          <w:sz w:val="20"/>
        </w:rPr>
        <w:t>.</w:t>
      </w:r>
    </w:p>
  </w:footnote>
  <w:footnote w:id="3">
    <w:p w:rsidR="009B7C17" w:rsidRDefault="009B7C17" w:rsidP="003B5071">
      <w:pPr>
        <w:ind w:left="-426" w:right="140"/>
        <w:jc w:val="both"/>
        <w:rPr>
          <w:rFonts w:ascii="Arial Narrow" w:hAnsi="Arial Narrow"/>
          <w:sz w:val="20"/>
        </w:rPr>
      </w:pPr>
      <w:r>
        <w:rPr>
          <w:rStyle w:val="Rimandonotaapidipagina"/>
          <w:rFonts w:ascii="Arial Narrow" w:hAnsi="Arial Narrow"/>
          <w:sz w:val="20"/>
        </w:rPr>
        <w:footnoteRef/>
      </w:r>
      <w:r w:rsidR="00AD00A2">
        <w:rPr>
          <w:rFonts w:ascii="Arial Narrow" w:hAnsi="Arial Narrow"/>
          <w:sz w:val="20"/>
        </w:rPr>
        <w:t xml:space="preserve"> </w:t>
      </w:r>
      <w:r>
        <w:rPr>
          <w:rFonts w:ascii="Arial Narrow" w:hAnsi="Arial Narrow"/>
          <w:sz w:val="20"/>
        </w:rPr>
        <w:t>Anselmo Barone,“</w:t>
      </w:r>
      <w:r>
        <w:rPr>
          <w:rFonts w:ascii="Arial Narrow" w:hAnsi="Arial Narrow"/>
          <w:i/>
          <w:sz w:val="20"/>
          <w:szCs w:val="28"/>
        </w:rPr>
        <w:t>L’attività notarile nel quadro della disciplina comunitaria delle professioni</w:t>
      </w:r>
      <w:r>
        <w:rPr>
          <w:rFonts w:ascii="Arial Narrow" w:hAnsi="Arial Narrow"/>
          <w:sz w:val="20"/>
          <w:szCs w:val="28"/>
        </w:rPr>
        <w:t xml:space="preserve">, in </w:t>
      </w:r>
      <w:r>
        <w:rPr>
          <w:rFonts w:ascii="Arial Narrow" w:hAnsi="Arial Narrow"/>
          <w:i/>
          <w:sz w:val="20"/>
          <w:szCs w:val="28"/>
        </w:rPr>
        <w:t>Notariato</w:t>
      </w:r>
      <w:r w:rsidR="00AD00A2">
        <w:rPr>
          <w:rFonts w:ascii="Arial Narrow" w:hAnsi="Arial Narrow"/>
          <w:sz w:val="20"/>
          <w:szCs w:val="28"/>
        </w:rPr>
        <w:t xml:space="preserve">, 2007, 4, 403, </w:t>
      </w:r>
      <w:r>
        <w:rPr>
          <w:rFonts w:ascii="Arial Narrow" w:hAnsi="Arial Narrow"/>
          <w:sz w:val="20"/>
          <w:szCs w:val="28"/>
        </w:rPr>
        <w:t>“</w:t>
      </w:r>
      <w:r>
        <w:rPr>
          <w:rFonts w:ascii="Arial Narrow" w:hAnsi="Arial Narrow"/>
          <w:i/>
          <w:sz w:val="20"/>
          <w:szCs w:val="28"/>
        </w:rPr>
        <w:t>Le fonti comunitarie e l’attività notarile</w:t>
      </w:r>
      <w:r>
        <w:rPr>
          <w:rFonts w:ascii="Arial Narrow" w:hAnsi="Arial Narrow"/>
          <w:sz w:val="20"/>
          <w:szCs w:val="28"/>
        </w:rPr>
        <w:t xml:space="preserve">” al Convegno </w:t>
      </w:r>
      <w:proofErr w:type="spellStart"/>
      <w:r>
        <w:rPr>
          <w:rFonts w:ascii="Arial Narrow" w:hAnsi="Arial Narrow"/>
          <w:sz w:val="20"/>
          <w:szCs w:val="28"/>
        </w:rPr>
        <w:t>Formanote</w:t>
      </w:r>
      <w:proofErr w:type="spellEnd"/>
      <w:r>
        <w:rPr>
          <w:rFonts w:ascii="Arial Narrow" w:hAnsi="Arial Narrow"/>
          <w:sz w:val="20"/>
          <w:szCs w:val="28"/>
        </w:rPr>
        <w:t xml:space="preserve"> di Milano del 28 marzo 2009, </w:t>
      </w:r>
      <w:hyperlink r:id="rId1" w:history="1">
        <w:r>
          <w:rPr>
            <w:rStyle w:val="Collegamentoipertestuale"/>
            <w:rFonts w:ascii="Arial Narrow" w:hAnsi="Arial Narrow"/>
            <w:b w:val="0"/>
            <w:bCs w:val="0"/>
            <w:sz w:val="20"/>
            <w:szCs w:val="28"/>
          </w:rPr>
          <w:t>www.fondazionenotariato.it</w:t>
        </w:r>
      </w:hyperlink>
      <w:r>
        <w:rPr>
          <w:rFonts w:ascii="Arial Narrow" w:hAnsi="Arial Narrow"/>
          <w:sz w:val="20"/>
          <w:szCs w:val="28"/>
        </w:rPr>
        <w:t>. Statuizioni analoghe si rinvengono in Cass., 15 aprile 2008, n. 9878.</w:t>
      </w:r>
    </w:p>
  </w:footnote>
  <w:footnote w:id="4">
    <w:p w:rsidR="009B7C17" w:rsidRDefault="009B7C17" w:rsidP="003B5071">
      <w:pPr>
        <w:pStyle w:val="Testonotaapidipagina"/>
        <w:ind w:left="-426" w:right="140"/>
        <w:jc w:val="both"/>
        <w:rPr>
          <w:rFonts w:ascii="Arial Narrow" w:hAnsi="Arial Narrow"/>
        </w:rPr>
      </w:pPr>
      <w:r>
        <w:rPr>
          <w:rStyle w:val="Rimandonotaapidipagina"/>
          <w:rFonts w:ascii="Arial Narrow" w:hAnsi="Arial Narrow"/>
        </w:rPr>
        <w:footnoteRef/>
      </w:r>
      <w:r>
        <w:rPr>
          <w:rFonts w:ascii="Arial Narrow" w:hAnsi="Arial Narrow"/>
        </w:rPr>
        <w:t xml:space="preserve"> sentenza 21 giugno </w:t>
      </w:r>
      <w:r w:rsidR="00AD00A2">
        <w:rPr>
          <w:rFonts w:ascii="Arial Narrow" w:hAnsi="Arial Narrow"/>
        </w:rPr>
        <w:t xml:space="preserve">1974, causa 2-74 </w:t>
      </w:r>
    </w:p>
  </w:footnote>
  <w:footnote w:id="5">
    <w:p w:rsidR="0080055F" w:rsidRDefault="0080055F" w:rsidP="0080055F">
      <w:pPr>
        <w:ind w:left="-426" w:right="140"/>
        <w:jc w:val="both"/>
        <w:rPr>
          <w:sz w:val="20"/>
        </w:rPr>
      </w:pPr>
      <w:r>
        <w:rPr>
          <w:rStyle w:val="Rimandonotaapidipagina"/>
          <w:sz w:val="20"/>
        </w:rPr>
        <w:footnoteRef/>
      </w:r>
      <w:r>
        <w:rPr>
          <w:sz w:val="20"/>
        </w:rPr>
        <w:t xml:space="preserve"> e infatti gli avvocati osservano che il loro dovere è di portare le azioni dei clienti nell’ambito della legalità nel senso di spingere i confini del diritto il più in là possibile nell’interesse del cliente, e non di essere </w:t>
      </w:r>
      <w:proofErr w:type="spellStart"/>
      <w:r>
        <w:rPr>
          <w:sz w:val="20"/>
        </w:rPr>
        <w:t>quasi-regulators</w:t>
      </w:r>
      <w:proofErr w:type="spellEnd"/>
      <w:r>
        <w:rPr>
          <w:sz w:val="20"/>
        </w:rPr>
        <w:t xml:space="preserve"> delle transazioni (The </w:t>
      </w:r>
      <w:proofErr w:type="spellStart"/>
      <w:r>
        <w:rPr>
          <w:sz w:val="20"/>
        </w:rPr>
        <w:t>Jurisprudence</w:t>
      </w:r>
      <w:proofErr w:type="spellEnd"/>
      <w:r>
        <w:rPr>
          <w:sz w:val="20"/>
        </w:rPr>
        <w:t xml:space="preserve"> </w:t>
      </w:r>
      <w:proofErr w:type="spellStart"/>
      <w:r>
        <w:rPr>
          <w:sz w:val="20"/>
        </w:rPr>
        <w:t>of</w:t>
      </w:r>
      <w:proofErr w:type="spellEnd"/>
      <w:r>
        <w:rPr>
          <w:sz w:val="20"/>
        </w:rPr>
        <w:t xml:space="preserve"> </w:t>
      </w:r>
      <w:proofErr w:type="spellStart"/>
      <w:r>
        <w:rPr>
          <w:sz w:val="20"/>
        </w:rPr>
        <w:t>Enron</w:t>
      </w:r>
      <w:proofErr w:type="spellEnd"/>
      <w:r>
        <w:rPr>
          <w:sz w:val="20"/>
        </w:rPr>
        <w:t xml:space="preserve">; </w:t>
      </w:r>
      <w:proofErr w:type="spellStart"/>
      <w:r>
        <w:rPr>
          <w:sz w:val="20"/>
        </w:rPr>
        <w:t>Professionalism</w:t>
      </w:r>
      <w:proofErr w:type="spellEnd"/>
      <w:r>
        <w:rPr>
          <w:sz w:val="20"/>
        </w:rPr>
        <w:t xml:space="preserve"> </w:t>
      </w:r>
      <w:proofErr w:type="spellStart"/>
      <w:r>
        <w:rPr>
          <w:sz w:val="20"/>
        </w:rPr>
        <w:t>as</w:t>
      </w:r>
      <w:proofErr w:type="spellEnd"/>
      <w:r>
        <w:rPr>
          <w:sz w:val="20"/>
        </w:rPr>
        <w:t xml:space="preserve"> </w:t>
      </w:r>
      <w:proofErr w:type="spellStart"/>
      <w:r>
        <w:rPr>
          <w:sz w:val="20"/>
        </w:rPr>
        <w:t>Intepretation</w:t>
      </w:r>
      <w:proofErr w:type="spellEnd"/>
      <w:r>
        <w:rPr>
          <w:sz w:val="20"/>
        </w:rPr>
        <w:t xml:space="preserve">, </w:t>
      </w:r>
      <w:proofErr w:type="spellStart"/>
      <w:r>
        <w:rPr>
          <w:sz w:val="20"/>
        </w:rPr>
        <w:t>W.Bradley</w:t>
      </w:r>
      <w:proofErr w:type="spellEnd"/>
      <w:r>
        <w:rPr>
          <w:sz w:val="20"/>
        </w:rPr>
        <w:t xml:space="preserve"> </w:t>
      </w:r>
      <w:proofErr w:type="spellStart"/>
      <w:r>
        <w:rPr>
          <w:sz w:val="20"/>
        </w:rPr>
        <w:t>Wendel</w:t>
      </w:r>
      <w:proofErr w:type="spellEnd"/>
      <w:r>
        <w:rPr>
          <w:sz w:val="20"/>
        </w:rPr>
        <w:t xml:space="preserve">, </w:t>
      </w:r>
      <w:proofErr w:type="spellStart"/>
      <w:r>
        <w:rPr>
          <w:sz w:val="20"/>
        </w:rPr>
        <w:t>Cornell</w:t>
      </w:r>
      <w:proofErr w:type="spellEnd"/>
      <w:r>
        <w:rPr>
          <w:sz w:val="20"/>
        </w:rPr>
        <w:t xml:space="preserve"> Un.18.8.04)</w:t>
      </w:r>
    </w:p>
    <w:p w:rsidR="0080055F" w:rsidRDefault="0080055F" w:rsidP="0080055F">
      <w:pPr>
        <w:pStyle w:val="Testonotaapidipagina"/>
        <w:ind w:left="-426" w:right="14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1B3096"/>
    <w:multiLevelType w:val="hybridMultilevel"/>
    <w:tmpl w:val="89BC763C"/>
    <w:lvl w:ilvl="0" w:tplc="1F267330">
      <w:start w:val="1"/>
      <w:numFmt w:val="decimal"/>
      <w:lvlText w:val="%1."/>
      <w:lvlJc w:val="left"/>
      <w:pPr>
        <w:ind w:left="0" w:hanging="360"/>
      </w:pPr>
      <w:rPr>
        <w:rFonts w:hint="default"/>
      </w:rPr>
    </w:lvl>
    <w:lvl w:ilvl="1" w:tplc="04100019" w:tentative="1">
      <w:start w:val="1"/>
      <w:numFmt w:val="lowerLetter"/>
      <w:lvlText w:val="%2."/>
      <w:lvlJc w:val="left"/>
      <w:pPr>
        <w:ind w:left="720" w:hanging="360"/>
      </w:p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
    <w:nsid w:val="7164605C"/>
    <w:multiLevelType w:val="hybridMultilevel"/>
    <w:tmpl w:val="AB7EA1B8"/>
    <w:lvl w:ilvl="0" w:tplc="CE0C1778">
      <w:start w:val="1"/>
      <w:numFmt w:val="decimal"/>
      <w:lvlText w:val="%1."/>
      <w:lvlJc w:val="left"/>
      <w:pPr>
        <w:ind w:left="-66" w:hanging="360"/>
      </w:pPr>
      <w:rPr>
        <w:rFonts w:hint="default"/>
      </w:rPr>
    </w:lvl>
    <w:lvl w:ilvl="1" w:tplc="04100019" w:tentative="1">
      <w:start w:val="1"/>
      <w:numFmt w:val="lowerLetter"/>
      <w:lvlText w:val="%2."/>
      <w:lvlJc w:val="left"/>
      <w:pPr>
        <w:ind w:left="654" w:hanging="360"/>
      </w:pPr>
    </w:lvl>
    <w:lvl w:ilvl="2" w:tplc="0410001B" w:tentative="1">
      <w:start w:val="1"/>
      <w:numFmt w:val="lowerRoman"/>
      <w:lvlText w:val="%3."/>
      <w:lvlJc w:val="right"/>
      <w:pPr>
        <w:ind w:left="1374" w:hanging="180"/>
      </w:pPr>
    </w:lvl>
    <w:lvl w:ilvl="3" w:tplc="0410000F" w:tentative="1">
      <w:start w:val="1"/>
      <w:numFmt w:val="decimal"/>
      <w:lvlText w:val="%4."/>
      <w:lvlJc w:val="left"/>
      <w:pPr>
        <w:ind w:left="2094" w:hanging="360"/>
      </w:pPr>
    </w:lvl>
    <w:lvl w:ilvl="4" w:tplc="04100019" w:tentative="1">
      <w:start w:val="1"/>
      <w:numFmt w:val="lowerLetter"/>
      <w:lvlText w:val="%5."/>
      <w:lvlJc w:val="left"/>
      <w:pPr>
        <w:ind w:left="2814" w:hanging="360"/>
      </w:pPr>
    </w:lvl>
    <w:lvl w:ilvl="5" w:tplc="0410001B" w:tentative="1">
      <w:start w:val="1"/>
      <w:numFmt w:val="lowerRoman"/>
      <w:lvlText w:val="%6."/>
      <w:lvlJc w:val="right"/>
      <w:pPr>
        <w:ind w:left="3534" w:hanging="180"/>
      </w:pPr>
    </w:lvl>
    <w:lvl w:ilvl="6" w:tplc="0410000F" w:tentative="1">
      <w:start w:val="1"/>
      <w:numFmt w:val="decimal"/>
      <w:lvlText w:val="%7."/>
      <w:lvlJc w:val="left"/>
      <w:pPr>
        <w:ind w:left="4254" w:hanging="360"/>
      </w:pPr>
    </w:lvl>
    <w:lvl w:ilvl="7" w:tplc="04100019" w:tentative="1">
      <w:start w:val="1"/>
      <w:numFmt w:val="lowerLetter"/>
      <w:lvlText w:val="%8."/>
      <w:lvlJc w:val="left"/>
      <w:pPr>
        <w:ind w:left="4974" w:hanging="360"/>
      </w:pPr>
    </w:lvl>
    <w:lvl w:ilvl="8" w:tplc="0410001B" w:tentative="1">
      <w:start w:val="1"/>
      <w:numFmt w:val="lowerRoman"/>
      <w:lvlText w:val="%9."/>
      <w:lvlJc w:val="right"/>
      <w:pPr>
        <w:ind w:left="569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C1C34"/>
    <w:rsid w:val="003B5071"/>
    <w:rsid w:val="004B1B65"/>
    <w:rsid w:val="004C1C34"/>
    <w:rsid w:val="0080055F"/>
    <w:rsid w:val="0091422B"/>
    <w:rsid w:val="009B7C17"/>
    <w:rsid w:val="00AD00A2"/>
    <w:rsid w:val="00B9595C"/>
    <w:rsid w:val="00FF646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1C34"/>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4C1C34"/>
    <w:pPr>
      <w:keepNext/>
      <w:ind w:left="-720" w:right="98"/>
      <w:jc w:val="both"/>
      <w:outlineLvl w:val="0"/>
    </w:pPr>
    <w:rPr>
      <w:rFonts w:ascii="Century" w:hAnsi="Century"/>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C1C34"/>
    <w:rPr>
      <w:rFonts w:ascii="Century" w:eastAsia="Times New Roman" w:hAnsi="Century" w:cs="Times New Roman"/>
      <w:b/>
      <w:bCs/>
      <w:sz w:val="24"/>
      <w:szCs w:val="24"/>
      <w:lang w:eastAsia="it-IT"/>
    </w:rPr>
  </w:style>
  <w:style w:type="paragraph" w:styleId="Corpodeltesto">
    <w:name w:val="Body Text"/>
    <w:basedOn w:val="Normale"/>
    <w:link w:val="CorpodeltestoCarattere"/>
    <w:semiHidden/>
    <w:rsid w:val="004C1C34"/>
    <w:pPr>
      <w:widowControl w:val="0"/>
      <w:ind w:right="-851"/>
      <w:jc w:val="both"/>
    </w:pPr>
    <w:rPr>
      <w:rFonts w:ascii="Sylfaen" w:hAnsi="Sylfaen"/>
      <w:sz w:val="28"/>
    </w:rPr>
  </w:style>
  <w:style w:type="character" w:customStyle="1" w:styleId="CorpodeltestoCarattere">
    <w:name w:val="Corpo del testo Carattere"/>
    <w:basedOn w:val="Carpredefinitoparagrafo"/>
    <w:link w:val="Corpodeltesto"/>
    <w:semiHidden/>
    <w:rsid w:val="004C1C34"/>
    <w:rPr>
      <w:rFonts w:ascii="Sylfaen" w:eastAsia="Times New Roman" w:hAnsi="Sylfaen" w:cs="Times New Roman"/>
      <w:sz w:val="28"/>
      <w:szCs w:val="24"/>
      <w:lang w:eastAsia="it-IT"/>
    </w:rPr>
  </w:style>
  <w:style w:type="character" w:styleId="Rimandonotaapidipagina">
    <w:name w:val="footnote reference"/>
    <w:basedOn w:val="Carpredefinitoparagrafo"/>
    <w:semiHidden/>
    <w:rsid w:val="009B7C17"/>
    <w:rPr>
      <w:vertAlign w:val="superscript"/>
    </w:rPr>
  </w:style>
  <w:style w:type="paragraph" w:styleId="Testonotaapidipagina">
    <w:name w:val="footnote text"/>
    <w:basedOn w:val="Normale"/>
    <w:link w:val="TestonotaapidipaginaCarattere"/>
    <w:semiHidden/>
    <w:rsid w:val="009B7C17"/>
    <w:pPr>
      <w:suppressAutoHyphens/>
    </w:pPr>
    <w:rPr>
      <w:sz w:val="20"/>
      <w:szCs w:val="20"/>
    </w:rPr>
  </w:style>
  <w:style w:type="character" w:customStyle="1" w:styleId="TestonotaapidipaginaCarattere">
    <w:name w:val="Testo nota a piè di pagina Carattere"/>
    <w:basedOn w:val="Carpredefinitoparagrafo"/>
    <w:link w:val="Testonotaapidipagina"/>
    <w:semiHidden/>
    <w:rsid w:val="009B7C17"/>
    <w:rPr>
      <w:rFonts w:ascii="Times New Roman" w:eastAsia="Times New Roman" w:hAnsi="Times New Roman" w:cs="Times New Roman"/>
      <w:sz w:val="20"/>
      <w:szCs w:val="20"/>
    </w:rPr>
  </w:style>
  <w:style w:type="character" w:styleId="Collegamentoipertestuale">
    <w:name w:val="Hyperlink"/>
    <w:basedOn w:val="Carpredefinitoparagrafo"/>
    <w:semiHidden/>
    <w:rsid w:val="009B7C17"/>
    <w:rPr>
      <w:b/>
      <w:bCs/>
      <w:strike w:val="0"/>
      <w:dstrike w:val="0"/>
      <w:color w:val="0062A0"/>
      <w:u w:val="none"/>
      <w:effect w:val="none"/>
    </w:rPr>
  </w:style>
  <w:style w:type="paragraph" w:styleId="Paragrafoelenco">
    <w:name w:val="List Paragraph"/>
    <w:basedOn w:val="Normale"/>
    <w:uiPriority w:val="34"/>
    <w:qFormat/>
    <w:rsid w:val="0080055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fondazionenotaria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1372</Words>
  <Characters>7823</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2011-08-10T22:00:00Z</dcterms:created>
  <dcterms:modified xsi:type="dcterms:W3CDTF">2011-08-11T17:21:00Z</dcterms:modified>
</cp:coreProperties>
</file>